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3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780"/>
      </w:tblGrid>
      <w:tr>
        <w:trPr>
          <w:trHeight w:val="476" w:hRule="atLeast"/>
        </w:trPr>
        <w:tc>
          <w:tcPr>
            <w:tcW w:w="10780" w:type="dxa"/>
            <w:shd w:val="clear" w:color="auto" w:fill="FF9933"/>
          </w:tcPr>
          <w:p>
            <w:pPr>
              <w:pStyle w:val="TableParagraph"/>
              <w:tabs>
                <w:tab w:pos="3467" w:val="left" w:leader="none"/>
                <w:tab w:pos="7567" w:val="left" w:leader="none"/>
              </w:tabs>
              <w:spacing w:before="86"/>
              <w:rPr>
                <w:sz w:val="24"/>
              </w:rPr>
            </w:pPr>
            <w:r>
              <w:rPr>
                <w:color w:val="DDDDDD"/>
                <w:sz w:val="24"/>
              </w:rPr>
              <w:t>大乘华严部·第</w:t>
            </w:r>
            <w:r>
              <w:rPr>
                <w:color w:val="DDDDDD"/>
                <w:spacing w:val="8"/>
                <w:sz w:val="24"/>
              </w:rPr>
              <w:t>0087</w:t>
            </w:r>
            <w:r>
              <w:rPr>
                <w:color w:val="DDDDDD"/>
                <w:sz w:val="24"/>
              </w:rPr>
              <w:t>部</w:t>
              <w:tab/>
            </w:r>
            <w:r>
              <w:rPr>
                <w:color w:val="EDFFFF"/>
                <w:sz w:val="24"/>
              </w:rPr>
              <w:t>佛华严入如来德智不思议境界经一卷</w:t>
              <w:tab/>
            </w:r>
            <w:r>
              <w:rPr>
                <w:color w:val="DDDDDD"/>
                <w:sz w:val="24"/>
              </w:rPr>
              <w:t>隋天竺三藏法师阇那崛多译</w:t>
            </w:r>
          </w:p>
        </w:tc>
      </w:tr>
      <w:tr>
        <w:trPr>
          <w:trHeight w:val="1421" w:hRule="atLeast"/>
        </w:trPr>
        <w:tc>
          <w:tcPr>
            <w:tcW w:w="10780" w:type="dxa"/>
          </w:tcPr>
          <w:p>
            <w:pPr>
              <w:pStyle w:val="TableParagraph"/>
              <w:numPr>
                <w:ilvl w:val="0"/>
                <w:numId w:val="1"/>
              </w:numPr>
              <w:tabs>
                <w:tab w:pos="912" w:val="left" w:leader="none"/>
                <w:tab w:pos="3884" w:val="left" w:leader="none"/>
                <w:tab w:pos="9197" w:val="left" w:leader="none"/>
              </w:tabs>
              <w:spacing w:line="290" w:lineRule="exact" w:before="86" w:after="0"/>
              <w:ind w:left="911" w:right="0" w:hanging="369"/>
              <w:jc w:val="left"/>
              <w:rPr>
                <w:sz w:val="24"/>
              </w:rPr>
            </w:pPr>
            <w:r>
              <w:rPr>
                <w:color w:val="FF3300"/>
                <w:sz w:val="24"/>
              </w:rPr>
              <w:t>经名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卷数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跋序</w:t>
              <w:tab/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品名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品数</w:t>
              <w:tab/>
            </w:r>
            <w:r>
              <w:rPr>
                <w:sz w:val="24"/>
              </w:rPr>
              <w:t>字体：</w:t>
            </w:r>
            <w:r>
              <w:rPr>
                <w:color w:val="FF3300"/>
                <w:sz w:val="24"/>
              </w:rPr>
              <w:t>大号</w:t>
            </w:r>
          </w:p>
          <w:p>
            <w:pPr>
              <w:pStyle w:val="TableParagraph"/>
              <w:numPr>
                <w:ilvl w:val="1"/>
                <w:numId w:val="1"/>
              </w:numPr>
              <w:tabs>
                <w:tab w:pos="4253" w:val="left" w:leader="none"/>
                <w:tab w:pos="9197" w:val="left" w:leader="none"/>
              </w:tabs>
              <w:spacing w:line="290" w:lineRule="exact" w:before="0" w:after="0"/>
              <w:ind w:left="4252" w:right="0" w:hanging="369"/>
              <w:jc w:val="left"/>
              <w:rPr>
                <w:sz w:val="24"/>
              </w:rPr>
            </w:pPr>
            <w:r>
              <w:rPr>
                <w:color w:val="993300"/>
                <w:sz w:val="24"/>
              </w:rPr>
              <w:t>译作者</w:t>
              <w:tab/>
            </w:r>
            <w:r>
              <w:rPr>
                <w:color w:val="FF3300"/>
                <w:sz w:val="24"/>
              </w:rPr>
              <w:t>中号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小号</w:t>
            </w:r>
          </w:p>
          <w:p>
            <w:pPr>
              <w:pStyle w:val="TableParagraph"/>
              <w:spacing w:line="213" w:lineRule="auto" w:before="104"/>
              <w:ind w:left="543" w:right="7331"/>
              <w:rPr>
                <w:sz w:val="24"/>
              </w:rPr>
            </w:pPr>
            <w:r>
              <w:rPr>
                <w:color w:val="FF3300"/>
                <w:sz w:val="24"/>
              </w:rPr>
              <w:t>佛华严入如来德智不思议境界经</w:t>
            </w:r>
          </w:p>
        </w:tc>
      </w:tr>
      <w:tr>
        <w:trPr>
          <w:trHeight w:val="12619" w:hRule="atLeast"/>
        </w:trPr>
        <w:tc>
          <w:tcPr>
            <w:tcW w:w="10780" w:type="dxa"/>
            <w:tcBorders>
              <w:bottom w:val="nil"/>
            </w:tcBorders>
          </w:tcPr>
          <w:p>
            <w:pPr>
              <w:pStyle w:val="TableParagraph"/>
              <w:spacing w:before="5"/>
              <w:ind w:left="0"/>
              <w:rPr>
                <w:rFonts w:ascii="Times New Roman"/>
                <w:sz w:val="21"/>
              </w:rPr>
            </w:pPr>
          </w:p>
          <w:p>
            <w:pPr>
              <w:pStyle w:val="TableParagraph"/>
              <w:spacing w:before="0"/>
              <w:ind w:left="3689" w:right="3671"/>
              <w:jc w:val="center"/>
              <w:rPr>
                <w:sz w:val="24"/>
              </w:rPr>
            </w:pPr>
            <w:r>
              <w:rPr>
                <w:color w:val="FF3300"/>
                <w:sz w:val="24"/>
              </w:rPr>
              <w:t>佛华严入如来德智不思议境界经</w:t>
            </w:r>
          </w:p>
          <w:p>
            <w:pPr>
              <w:pStyle w:val="TableParagraph"/>
              <w:spacing w:before="2"/>
              <w:ind w:left="0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line="362" w:lineRule="auto" w:before="0"/>
              <w:ind w:right="259" w:firstLine="480"/>
              <w:rPr>
                <w:sz w:val="24"/>
              </w:rPr>
            </w:pPr>
            <w:r>
              <w:rPr>
                <w:sz w:val="24"/>
              </w:rPr>
              <w:t>如是我闻：一时，婆伽婆游摩伽陀国，法阿兰拏处菩提场上普光堂中，大福聚集，妙喜所 生，普无毁处，功德无量，莲华藏师子座中坐。平等证觉(一)，善净觉者(二)，无有二行(三)， 游佛所游(四)，得至诸佛平等(五)，到无障处(六)，不退转法(七)，无遮行处(八)，不舍无边诸佛所作(九)，住不思处(十)，向无相法(十一)，三世平等所生(十二)，其身遍诸世界(十三)，诸法智中无有疑惑(十四)，于诸所行具足觉慧(十五)，诸法智中不为虑难(十六)，无分别身(十</w:t>
            </w:r>
          </w:p>
          <w:p>
            <w:pPr>
              <w:pStyle w:val="TableParagraph"/>
              <w:spacing w:line="362" w:lineRule="auto"/>
              <w:ind w:right="275"/>
              <w:rPr>
                <w:sz w:val="24"/>
              </w:rPr>
            </w:pPr>
            <w:r>
              <w:rPr>
                <w:sz w:val="24"/>
              </w:rPr>
              <w:t>七)，受诸菩萨智(十八)，得至无二佛行最胜彼岸(十九)，尽到无差别如来解脱智(二十)，顺到无边无中佛地平等(二十一)，法界最极(二十二)，虚空界究竟(二十三)，无后际尽(二十四)，于诸劫数常转法轮身不休息(二十五)。</w:t>
            </w:r>
          </w:p>
          <w:p>
            <w:pPr>
              <w:pStyle w:val="TableParagraph"/>
              <w:ind w:left="808"/>
              <w:rPr>
                <w:sz w:val="24"/>
              </w:rPr>
            </w:pPr>
            <w:r>
              <w:rPr>
                <w:sz w:val="24"/>
              </w:rPr>
              <w:t>共六十二百千比丘，彼谓奢利弗多啰(此云鸲鹆子，旧名舍利弗者一)、摩诃毛伽利耶夜那</w:t>
            </w:r>
          </w:p>
          <w:p>
            <w:pPr>
              <w:pStyle w:val="TableParagraph"/>
              <w:spacing w:line="362" w:lineRule="auto" w:before="157"/>
              <w:ind w:right="275"/>
              <w:jc w:val="both"/>
              <w:rPr>
                <w:sz w:val="24"/>
              </w:rPr>
            </w:pPr>
            <w:r>
              <w:rPr>
                <w:sz w:val="24"/>
              </w:rPr>
              <w:t>(旧名大目揵连者二)、摩诃迦葉簸(三)、阿泥留驮(四)、修浮帝(此云善实，旧名须菩提者五)、迦底耶夜那(旧名迦旃延者六)、摩诃劫譬那(旧名劫宾那者七)、黎婆多(八)、难陀(九)、那提迦葉簸(十)、伽耶迦葉簸(十一)、富啰拏迷低黎夜尼弗多啰(此云满慈子，旧名富楼那者十二)、伽傍簸帝(此云牛主，旧名憍梵波提者十三)、周稚般他迦(此云髻道，旧名周利槃陀者十四)、达啰弊夜摩罗弗多啰(此云物力士子，旧名沓婆摩罗子者十五)、佉驮啰婆那迦(十六)、专陀(十七)、摩诃俱絺罗(十八)、罗睺罗(十九)、阿难陀(二十)，如是为首，有六十二百千比丘。皆游一法等入境界，皆入诸法自性行，皆无所住虚空境界，皆游无所依处，皆已离诸烦恼障盖所起，皆已入诸如来法界光明行，皆平等入一法，皆向普智，皆于普智道无有休息，皆说普智智无有退意，皆已得至别智智观最胜彼岸，皆从方便境界行处所生。</w:t>
            </w:r>
          </w:p>
          <w:p>
            <w:pPr>
              <w:pStyle w:val="TableParagraph"/>
              <w:spacing w:line="362" w:lineRule="auto"/>
              <w:ind w:right="339" w:firstLine="480"/>
              <w:jc w:val="both"/>
              <w:rPr>
                <w:sz w:val="24"/>
              </w:rPr>
            </w:pPr>
            <w:r>
              <w:rPr>
                <w:sz w:val="24"/>
              </w:rPr>
              <w:t>复共六十百千比丘尼，摩诃钵啰阇簸帝比丘尼、耶输陀啰比丘尼为首。皆善集白法，皆近普智智，皆入普智光明行，皆于明法，如是善通诸法无相，如是下入诸法实际，如是顺到诸法不生不灭无有助对，如是信解，皆安住不思解脱三摩地，皆随化度众生，如无功用无分别色身形类威仪示现。</w:t>
            </w:r>
          </w:p>
          <w:p>
            <w:pPr>
              <w:pStyle w:val="TableParagraph"/>
              <w:spacing w:line="362" w:lineRule="auto"/>
              <w:ind w:right="339" w:firstLine="480"/>
              <w:jc w:val="both"/>
              <w:rPr>
                <w:sz w:val="24"/>
              </w:rPr>
            </w:pPr>
            <w:r>
              <w:rPr>
                <w:sz w:val="24"/>
              </w:rPr>
              <w:t>复与大菩萨众，有十佛土不可说俱致那由多百千微尘等菩萨摩诃萨。彼谓普贤菩萨摩诃萨， 普日菩萨、普化菩萨、普智菩萨、普眼菩萨、普光菩萨、普明菩萨、普照菩萨、普幢菩萨、普意菩萨摩诃萨，大速行菩萨、大速持菩萨、大游戏菩萨、大游戏王菩萨、大精进勇步菩萨、大勇步</w:t>
            </w:r>
          </w:p>
        </w:tc>
      </w:tr>
    </w:tbl>
    <w:p>
      <w:pPr>
        <w:spacing w:after="0" w:line="362" w:lineRule="auto"/>
        <w:jc w:val="both"/>
        <w:rPr>
          <w:sz w:val="24"/>
        </w:rPr>
        <w:sectPr>
          <w:type w:val="continuous"/>
          <w:pgSz w:w="12240" w:h="15840"/>
          <w:pgMar w:top="700" w:bottom="280" w:left="580" w:right="640"/>
        </w:sectPr>
      </w:pPr>
    </w:p>
    <w:p>
      <w:pPr>
        <w:pStyle w:val="BodyText"/>
        <w:spacing w:line="362" w:lineRule="auto" w:before="80"/>
        <w:ind w:right="429"/>
      </w:pPr>
      <w:r>
        <w:rPr/>
        <w:pict>
          <v:line style="position:absolute;mso-position-horizontal-relative:page;mso-position-vertical-relative:page;z-index:251658240" from="574.012451pt,28.999924pt" to="574.012451pt,763.393923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59264" from="35.006748pt,28.999924pt" to="35.006748pt,763.393923pt" stroked="true" strokeweight=".80090pt" strokecolor="#000000">
            <v:stroke dashstyle="solid"/>
            <w10:wrap type="none"/>
          </v:line>
        </w:pict>
      </w:r>
      <w:r>
        <w:rPr/>
        <w:t>健菩萨、大频申菩萨、大频申力菩萨、大众主菩萨、平等光明月菩萨、法无垢月菩萨、显赫月菩萨、震声月菩萨、放光月菩萨摩诃萨，梵音菩萨、梵主雷音菩萨、地鸣音菩萨、诸音分胜音菩萨摩诃萨，普孕菩萨、普无垢孕菩萨、功德孕菩萨、显赫孕菩萨、宝孕菩萨、月孕菩萨、日孕菩 萨、炽然孕菩萨、莲华孕菩萨摩诃萨，意菩萨、大意菩萨、胜意菩萨、震声意菩萨、上意菩萨、妙意菩萨、增长意菩萨、无边意菩萨、广意菩萨、觉意菩萨、无尽意菩萨、海意菩萨摩诃萨，迷留灯菩萨、法炬灯菩萨、诸方遍灯菩萨、普灯菩萨、灭诸闇灯菩萨、诸趣明灯菩萨、一向照灯菩萨、月灯菩萨、日灯菩萨摩诃萨，曼殊尸利童子菩萨、观世音菩萨、大势至菩萨、金刚孕菩萨、功德孕菩萨、舍恶道菩萨、药王菩萨、药上菩萨、支帝神庙雷音菩萨、莲华手菩萨、日光菩萨、离尘勇步菩萨、金刚意菩萨、闭塞诸盖菩萨、降伏摩啰菩萨、宝髻菩萨、十百光明火炽然菩萨、大降伏摩啰菩萨、难出现菩萨、难降伏菩萨、入度菩萨、难称事意菩萨、干竭恶趣菩萨、慈者菩萨摩诃萨，如是为首，十佛土不可说俱致那由多百千微尘等菩萨摩诃萨。皆是一生补处，各异世界来集。善安立菩萨欲令成熟，思惟方便行化度诸众生界欲令成熟(一)；皆遍诸世界思惟行智遍入(二)；皆思惟善观察涅槃地境界智(三)；善摄众生界，断诸戏论及断行取(四)；皆善住入无边中法行(五)；皆思惟善观察众生业报不失不得(六)；皆思惟善观察众生界信根发起方便最胜</w:t>
      </w:r>
    </w:p>
    <w:p>
      <w:pPr>
        <w:pStyle w:val="BodyText"/>
        <w:spacing w:line="362" w:lineRule="auto" w:before="3"/>
        <w:ind w:right="445"/>
        <w:jc w:val="both"/>
      </w:pPr>
      <w:r>
        <w:rPr/>
        <w:t>(七)；皆善平等持过去、未来、现在诸如来所说义句味受持智(八)；皆善住入世间、出世间无边中法行(九)；皆善观察有为、无为三世过量法行(十)；皆次第无间得游过去、未来、现在诸如来智场相(十一)；皆于心刹那、心刹那间，善示现堕没、出生、出家、苦行方便、诣菩提场、降伏摩啰、证觉菩提、转法轮、大涅槃(十二)；皆不离诸众生令其发心证觉菩提(十三)；皆入一众生心攀缘善顺到无余诸众生心攀缘(十四)；皆于自然地不动菩萨身(十五)；皆得普智地不退转行</w:t>
      </w:r>
    </w:p>
    <w:p>
      <w:pPr>
        <w:pStyle w:val="BodyText"/>
        <w:spacing w:line="362" w:lineRule="auto" w:before="1"/>
        <w:ind w:right="429"/>
      </w:pPr>
      <w:r>
        <w:rPr/>
        <w:t>(十六)；皆入菩萨所作力不休息无作智行(十七)；皆善住持一众生所作无边劫行(十八)；皆善入不错谬转法轮安住诸世间化度界(十九)；皆具足过去、未来、现在诸如来净处受行力胜愿(二</w:t>
      </w:r>
    </w:p>
    <w:p>
      <w:pPr>
        <w:pStyle w:val="BodyText"/>
        <w:spacing w:line="362" w:lineRule="auto" w:before="1"/>
        <w:ind w:right="557"/>
      </w:pPr>
      <w:r>
        <w:rPr/>
        <w:t>十)；皆具足普贤行愿殊胜净信(二十一)；皆诣诸佛出处善能劝请(二十二)；皆善持诸如来法教(二十三)；皆作不断诸佛种姓(二十四)；皆于无佛世界示现佛出(二十五)；皆能清净浊染世界</w:t>
      </w:r>
    </w:p>
    <w:p>
      <w:pPr>
        <w:pStyle w:val="BodyText"/>
        <w:spacing w:line="362" w:lineRule="auto"/>
        <w:ind w:right="414"/>
        <w:jc w:val="both"/>
      </w:pPr>
      <w:r>
        <w:rPr/>
        <w:t>(二十六)；皆灭诸菩萨业障(二十七)；皆已入无碍法界(二十八)；皆具足虚空界量法(二十九)； 皆具足法界无碍平等(三十)；皆具足实际法界平等(三十一)；皆信解威仪业所起报(三十二)；皆信解如因所起果(三十三)；皆具足印别印起诸法平等智(三十四)；皆具足影、像、水月法平等</w:t>
      </w:r>
    </w:p>
    <w:p>
      <w:pPr>
        <w:pStyle w:val="BodyText"/>
        <w:spacing w:line="362" w:lineRule="auto" w:before="1"/>
        <w:ind w:right="429"/>
      </w:pPr>
      <w:r>
        <w:rPr/>
        <w:t>(三十五)；皆具足觉诸法响等音鸣(三十六)；皆安住不思解脱三摩地(三十七)；游戏首楞伽摩三摩地(三十八)；皆安住无边佛身色成就出生陀罗尼(三十九)；皆善于一毛道现诸世界；皆于一毛道中十方善能示现堕没、出生、出家、苦行方便、诣菩提场，示现降伏摩啰、证觉菩提、转法 轮、大涅槃(四十一)；皆具足以一跏趺十方诸世界遍满智(四十二)；皆善示现诸土璎珞具于一土中(四十三)；皆善示现一土璎珞具于诸土中(四十四)；皆善示现满十方世界诸如来众于一如来众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1"/>
        <w:ind w:right="429"/>
      </w:pPr>
      <w:r>
        <w:rPr/>
        <w:pict>
          <v:line style="position:absolute;mso-position-horizontal-relative:page;mso-position-vertical-relative:page;z-index:251660288" from="574.012451pt,29.000051pt" to="574.012451pt,763.393951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1312" from="35.006748pt,29.000051pt" to="35.006748pt,763.393951pt" stroked="true" strokeweight=".80090pt" strokecolor="#000000">
            <v:stroke dashstyle="solid"/>
            <w10:wrap type="none"/>
          </v:line>
        </w:pict>
      </w:r>
      <w:r>
        <w:rPr/>
        <w:t>中(四十五)；善示现一如来众于十方诸世界诸如来众中(四十六)；善示现诸众生身(四十七)；善示现诸佛身入一佛身(四十八)；善示现一佛身入诸佛身(四十九)；善示现诸方诸世界入自身中</w:t>
      </w:r>
    </w:p>
    <w:p>
      <w:pPr>
        <w:pStyle w:val="BodyText"/>
        <w:spacing w:line="362" w:lineRule="auto" w:before="1"/>
        <w:ind w:right="445"/>
      </w:pPr>
      <w:r>
        <w:rPr/>
        <w:t>(五十)；善示现诸三世众生身于一众生(五十一)；皆善示现过去世入未来世，未来世入过去世， 过去世入现在世，现在世入过去世，过去世入未来世(五十二)；皆善以一身入三摩地于无量无数身起(五十三)；善以无量无数身入三摩地于一身起(五十四)；皆善示现诸身譬喻证觉菩提(五十五)；皆善示现诸众生身于一众生身中(五十六)；善示现一众生身于诸众生身中(五十七)；善示现诸佛身于一佛身中(五十八)；善示现一佛身于诸佛身中(五十九)；善示现诸众生身即是法身</w:t>
      </w:r>
    </w:p>
    <w:p>
      <w:pPr>
        <w:pStyle w:val="BodyText"/>
        <w:spacing w:line="362" w:lineRule="auto" w:before="1"/>
        <w:ind w:right="429"/>
      </w:pPr>
      <w:r>
        <w:rPr/>
        <w:t>(六十)；皆善示现诸土庄严具于一土中(六十一)；善示现一土庄严具于诸土中(六十二)；善纳十方诸世界于一毛孔中(六十三)；皆善示现诸佛证觉菩提愿力智令诸众生证觉(六十四)；皆遍十方世界，随所成就众生，随所化度，如无上正觉善能示现(六十五)；皆善示现于诸劫数一一世界中菩萨行行身不休息(六十六)；皆于一心生时，遍十方诸世界一一世界中，诸众生若卵生、若胎 生、若湿生、若化生、若有色、若无色、若有想、若无想，若二足、若四足、若多足，若天、 龙、夜叉、揵闼婆、阿修啰、伽留荼、紧那啰、摩睺啰伽、舍迦啰、婆啰诃摩、卢迦波罗、人非人等，随所成熟化度，如是无功用、无分别作威仪行入其住处善能示现(六十七)；皆于一微尘 中，善纳无量无数、不可称、不可量、不可说世界而心不逼恼(六十八)；皆善以无量无数、不可思、不可称、不可量、不可说、不可说劫，于一牟侯利位时住持(六十九)；善以一牟侯利位时， 于无量无数、不可思、不可称、不可量、不可说、不可说劫住持(七十)；皆随众生所成熟行，如是无功用、无分别色身形类威仪善能示现，如是及余无量无数俱致那由多百千功德具足菩萨摩诃萨。</w:t>
      </w:r>
    </w:p>
    <w:p>
      <w:pPr>
        <w:pStyle w:val="BodyText"/>
        <w:spacing w:line="362" w:lineRule="auto" w:before="2"/>
        <w:ind w:firstLine="480"/>
      </w:pPr>
      <w:r>
        <w:rPr/>
        <w:t>复有无量无数、不可思、不可称、不可量、不可说天、龙、夜叉、揵达婆、阿修啰、伽留 荼、紧那啰、摩睺啰伽、舍迦啰、婆啰诃摩、护世等，各从种种佛土来集此世界中。百俱致四大王身天，一一大多眷属围绕，诣向佛所，为欲礼觐供养亲事听法。</w:t>
      </w:r>
    </w:p>
    <w:p>
      <w:pPr>
        <w:pStyle w:val="BodyText"/>
        <w:spacing w:line="362" w:lineRule="auto" w:before="1"/>
        <w:ind w:firstLine="480"/>
      </w:pPr>
      <w:r>
        <w:rPr/>
        <w:t>复有百俱致舍迦啰、百俱致修夜摩天王、百俱致兜率多天王、百俱致善化天王、百俱致他化自在天王，一一天王大多眷属围绕，诣向佛所，为欲礼觐供养亲事听法。</w:t>
      </w:r>
    </w:p>
    <w:p>
      <w:pPr>
        <w:pStyle w:val="BodyText"/>
        <w:ind w:left="930" w:right="0"/>
      </w:pPr>
      <w:r>
        <w:rPr/>
        <w:t>复有俱致摩啰身天商主，前行诣向佛所，为欲礼觐供养亲事听法。</w:t>
      </w:r>
    </w:p>
    <w:p>
      <w:pPr>
        <w:pStyle w:val="BodyText"/>
        <w:spacing w:line="362" w:lineRule="auto" w:before="157"/>
        <w:ind w:firstLine="480"/>
        <w:jc w:val="both"/>
      </w:pPr>
      <w:r>
        <w:rPr/>
        <w:t>复有百俱致婆啰诃摩、百俱致大婆啰诃摩、百俱致少光、百俱致无量光、百俱致光音、百俱致少净、百俱致无量净、百俱致遍净、百俱致广果、百俱致善现、百俱致大广、百俱致大炽、百俱致究竟诸天，一一婆啰诃摩大多眷属围绕，诣向佛所，为欲礼觐供养亲事听法。</w:t>
      </w:r>
    </w:p>
    <w:p>
      <w:pPr>
        <w:pStyle w:val="BodyText"/>
        <w:ind w:left="930" w:right="0"/>
      </w:pPr>
      <w:r>
        <w:rPr/>
        <w:t>百俱致净居身天、大自在天子前行诣向佛所，为欲礼觐供养亲事听法。</w:t>
      </w:r>
    </w:p>
    <w:p>
      <w:pPr>
        <w:pStyle w:val="BodyText"/>
        <w:spacing w:line="362" w:lineRule="auto" w:before="158"/>
        <w:ind w:firstLine="480"/>
      </w:pPr>
      <w:r>
        <w:rPr/>
        <w:t>百俱致龙主、百俱致夜叉主、百俱致揵闼婆主、百俱致阿修啰主、百俱致伽留荼主、百俱致紧那啰主、百俱致摩睺啰伽主，一一大多眷属围绕，诣向佛所，为欲礼觐供养亲事听法。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before="81"/>
        <w:ind w:left="930" w:right="0"/>
      </w:pPr>
      <w:r>
        <w:rPr/>
        <w:pict>
          <v:line style="position:absolute;mso-position-horizontal-relative:page;mso-position-vertical-relative:page;z-index:251662336" from="574.012451pt,28.999823pt" to="574.012451pt,763.393822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3360" from="35.006748pt,28.999823pt" to="35.006748pt,763.393822pt" stroked="true" strokeweight=".80090pt" strokecolor="#000000">
            <v:stroke dashstyle="solid"/>
            <w10:wrap type="none"/>
          </v:line>
        </w:pict>
      </w:r>
      <w:r>
        <w:rPr/>
        <w:t>复有无量无数人非人等，诣向佛所，为欲礼觐供养亲事听法。</w:t>
      </w:r>
    </w:p>
    <w:p>
      <w:pPr>
        <w:pStyle w:val="BodyText"/>
        <w:spacing w:before="157"/>
        <w:ind w:left="930" w:right="0"/>
      </w:pPr>
      <w:r>
        <w:rPr/>
        <w:t>复有多俱致那由多百千优波娑迦、优波斯迦，诣向佛所，为欲礼觐供养亲事听法。</w:t>
      </w:r>
    </w:p>
    <w:p>
      <w:pPr>
        <w:pStyle w:val="BodyText"/>
        <w:spacing w:line="362" w:lineRule="auto" w:before="158"/>
        <w:ind w:firstLine="480"/>
      </w:pPr>
      <w:r>
        <w:rPr/>
        <w:t>复有诸药草树林天等，迷留、大迷留、目真邻陀、大目真邻陀、雪山、轮山等诸山天，诣向佛所，为欲礼觐供养亲事听法。</w:t>
      </w:r>
    </w:p>
    <w:p>
      <w:pPr>
        <w:pStyle w:val="BodyText"/>
        <w:spacing w:line="362" w:lineRule="auto"/>
        <w:ind w:left="930" w:right="2639"/>
      </w:pPr>
      <w:r>
        <w:rPr/>
        <w:t>复有海、大海、河、池、陂天等，诣向佛所，为欲礼觐供养亲事听法。复有村、城、国王所治处天等，诣向佛所，为欲礼觐供养亲事听法。</w:t>
      </w:r>
    </w:p>
    <w:p>
      <w:pPr>
        <w:pStyle w:val="BodyText"/>
        <w:spacing w:line="362" w:lineRule="auto" w:before="1"/>
        <w:ind w:firstLine="480"/>
      </w:pPr>
      <w:r>
        <w:rPr/>
        <w:t>复有龙、夜叉、揵闼婆、阿修啰、伽留荼、紧那啰、摩睺啰伽宫中所有天等，诣向佛所，为欲礼觐供养亲事听法。以佛神力故，众生无有逼恼。</w:t>
      </w:r>
    </w:p>
    <w:p>
      <w:pPr>
        <w:pStyle w:val="BodyText"/>
        <w:ind w:left="930" w:right="0"/>
      </w:pPr>
      <w:r>
        <w:rPr/>
        <w:t>复有百俱致月、百俱致日、百俱致海，一一大多眷属围绕，诣向佛所，为欲礼觐供养亲事听</w:t>
      </w:r>
    </w:p>
    <w:p>
      <w:pPr>
        <w:pStyle w:val="BodyText"/>
        <w:spacing w:before="157"/>
        <w:ind w:right="0"/>
      </w:pPr>
      <w:r>
        <w:rPr/>
        <w:t>法。</w:t>
      </w:r>
    </w:p>
    <w:p>
      <w:pPr>
        <w:pStyle w:val="BodyText"/>
        <w:spacing w:before="157"/>
        <w:ind w:left="930" w:right="0"/>
      </w:pPr>
      <w:r>
        <w:rPr/>
        <w:t>复有龙王，名阿那婆怛簸多，大眷属围绕，诣向佛所，为欲礼觐供养亲事听法。</w:t>
      </w:r>
    </w:p>
    <w:p>
      <w:pPr>
        <w:pStyle w:val="BodyText"/>
        <w:spacing w:before="157"/>
        <w:ind w:left="930" w:right="0"/>
      </w:pPr>
      <w:r>
        <w:rPr/>
        <w:t>尔时，世尊光明显炽，映蔽诸众。如彼白助月轮，于十五日，云网放脱，光明显炽，映蔽诸</w:t>
      </w:r>
    </w:p>
    <w:p>
      <w:pPr>
        <w:pStyle w:val="BodyText"/>
        <w:spacing w:line="362" w:lineRule="auto" w:before="157"/>
      </w:pPr>
      <w:r>
        <w:rPr/>
        <w:t>星宿轮。如是，如是，世尊亦然，映蔽诸舍迦啰、婆啰诃摩、护世等光明显炽，如修迷留山王光明显炽，功德显炽，住不动身不战不喘。</w:t>
      </w:r>
    </w:p>
    <w:p>
      <w:pPr>
        <w:pStyle w:val="BodyText"/>
        <w:ind w:left="930" w:right="0"/>
      </w:pPr>
      <w:r>
        <w:rPr/>
        <w:t>尔时，曼殊尸利童真，告遮塞诸盖菩萨言：“佛子，此如来，住不动身不战不喘。”</w:t>
      </w:r>
    </w:p>
    <w:p>
      <w:pPr>
        <w:pStyle w:val="BodyText"/>
        <w:spacing w:line="362" w:lineRule="auto" w:before="158"/>
        <w:ind w:firstLine="480"/>
      </w:pPr>
      <w:r>
        <w:rPr/>
        <w:t>如是语已，遮塞诸盖菩萨摩诃萨，告曼殊尸利童真言：“曼殊尸利，此如来于此众中，或有天人，知其从家而出欲向出家，或有知其住苦行处。于此众中，或有知其诣菩提场，或有坐菩提场。于此众中，或有无量无数摩啰众围绕，或有知其破坏摩啰。无量无数天、龙、夜叉、揵闼 婆、阿修啰、伽留荼、紧那啰、摩睺啰伽、舍迦啰、婆啰诃摩、卢迦波啰等，欲助与力胜大商 主，或有知其证觉已舍迦啰劝请。或有婆啰诃摩，或有知此众中卢迦波罗劝请世尊，或有知世尊为我等说陀那。此众中或有知世尊为我等说尸罗，或有说忍，或有说精进，或有说思惟定，或有知世尊为我等说钵啰阇若波罗蜜，或有说方便，或有知世尊为我等说愿，或有说力，或有说阇若那。或有知世尊为我等说声闻乘，或有说独觉乘，或有说大乘。或有知世尊为我等说生畜生法， 或有生饿鬼，或有知世尊为我等说生阎摩世法。或有知世尊为我等说生四大王天宫法，或有生三十三天，或有知世尊为我等说生夜摩天宫法，或有知世尊为我等说生兜率天宫法，或有生化天 宫，或有生他化自在天宫，或有生摩啰天宫。或有知世尊为我等说生婆啰诃摩天宫法，或有生 人，或有此众中知世尊为我等说当得转轮王。</w:t>
      </w:r>
    </w:p>
    <w:p>
      <w:pPr>
        <w:pStyle w:val="BodyText"/>
        <w:spacing w:line="362" w:lineRule="auto" w:before="2"/>
        <w:ind w:firstLine="480"/>
        <w:jc w:val="both"/>
      </w:pPr>
      <w:r>
        <w:rPr/>
        <w:t>“曼殊尸利，或有此众中知如来高二寻，或有高一俱嚧舍，或有高二俱嚧舍，或有高半踰阇那，或有知如来身高二踰阇那，或有知如来身十踰阇那。或有此众中知如来身千踰阇那，或有知如来身十、二十、三十、四十、五十、百千踰阇那，或有知如来身八十四百千踰阇那，或有此众中知如来身过百千数踰阇那。或有见金色，或有鞞琉璃夜摩尼宝色，或有因陀啰青摩尼宝色，或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3"/>
      </w:pPr>
      <w:r>
        <w:rPr/>
        <w:pict>
          <v:line style="position:absolute;mso-position-horizontal-relative:page;mso-position-vertical-relative:page;z-index:251664384" from="574.012451pt,28.999952pt" to="574.012451pt,763.393752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5408" from="35.006748pt,28.999952pt" to="35.006748pt,763.393752pt" stroked="true" strokeweight=".80090pt" strokecolor="#000000">
            <v:stroke dashstyle="solid"/>
            <w10:wrap type="none"/>
          </v:line>
        </w:pict>
      </w:r>
      <w:r>
        <w:rPr/>
        <w:t>有大青摩尼宝色，或有火光摩尼宝色，或有波头摩染摩尼宝色，或有知如来身舍迦啰毗楞伽那摩尼宝色，或有金刚光摩尼宝色，或有诸天光摩尼宝色，或有日月光摩尼宝色，或有水光摩尼宝 色，或有知如来颇致迦摩尼宝色，或有自在王摩尼宝色，或有诸光最上摩尼宝色，或有师子须摩尼宝色，或有师子幢上摩尼宝色，或有海住持净庄严普炎光摩尼宝色。曼殊尸利，或有此众中知如来如意摩尼宝色。曼殊尸利，所有如是色威仪住，得化度众生。曼殊尸利，彼众生见如来彼彼如是色威仪住。曼殊尸利，所有说法得成熟众生，彼等众生知如来如是说法。曼殊尸利，所有修行，令诸众生入如来教得受化度，彼众生知如来住彼彼行。</w:t>
      </w:r>
    </w:p>
    <w:p>
      <w:pPr>
        <w:pStyle w:val="BodyText"/>
        <w:spacing w:line="362" w:lineRule="auto" w:before="1"/>
        <w:ind w:firstLine="480"/>
      </w:pPr>
      <w:r>
        <w:rPr/>
        <w:t>“曼殊尸利，若于东方无量无数、不可思、不可称、不可量、不可说诸世界，悉满天、龙、夜叉、揵闼婆、阿修啰、伽留荼、紧那啰、摩睺啰伽、舍伽啰、婆啰诃摩、护世、人非人等；如东方，如是南方、西方、北方、东南方、西南方、西北方，如是东北方、上方、下方，无量无 数、不可思、不可称、不可量、不可说诸世界，悉满天、龙、夜叉、揵闼婆、阿修啰、伽留荼、紧那啰、摩睺啰伽、舍迦啰、婆啰诃摩、护世、人非人等，譬如竹林、甘蔗林、胡麻林。曼殊尸利，若诸众生见如来已得化度者，彼诸众生在如来前一寻量住，而见如来所有所有色威仪住。彼等众生得化度者，众生见如来在前彼彼色威仪住。曼殊尸利，所有说法已令彼众生当得成熟，彼彼当闻如是说法。</w:t>
      </w:r>
    </w:p>
    <w:p>
      <w:pPr>
        <w:pStyle w:val="BodyText"/>
        <w:spacing w:line="362" w:lineRule="auto" w:before="2"/>
        <w:ind w:firstLine="480"/>
      </w:pPr>
      <w:r>
        <w:rPr/>
        <w:t>“曼殊尸利，所有修行，令彼众生入如来教，当得成熟彼彼修行。如来当住，如来诸所作事无功用无分别，而自回转。曼殊尸利，譬如白助月轮于半夜时，阎浮地鞞波诸众生各各知月轮在前，而月轮亦无分别无异分别：‘如是我于众生前住，欲令众生知我月轮。’曼殊尸利，然月轮无功用无分别，故此如是色事转，以不共法故。如是，如是，曼殊尸利，如来应正遍知在于众 中，彼诸众生皆见如来在其前住，如来亦无分别无异分别：‘如是我于众生前住，欲令众生知我如来在其前住。’然随所化度众生，彼知如来在其前住。何以故？不共法相应故。</w:t>
      </w:r>
    </w:p>
    <w:p>
      <w:pPr>
        <w:pStyle w:val="BodyText"/>
        <w:spacing w:line="362" w:lineRule="auto" w:before="1"/>
        <w:ind w:firstLine="480"/>
        <w:jc w:val="both"/>
      </w:pPr>
      <w:r>
        <w:rPr/>
        <w:t>“曼殊尸利，譬如诸众生随下中上业熟力，还有下中上诸行，为众生出生，而诸行亦无分别无异分别；然复无功用无分别故，诸行下中上事，自然回转。如是，如是，曼殊尸利，如来应正遍知，随众生下中上业熟力，还有下中上，如来为众生见。曼殊尸利，如来亦无分别无异分别； 然无功用无分别故，如来如是事转。</w:t>
      </w:r>
    </w:p>
    <w:p>
      <w:pPr>
        <w:pStyle w:val="BodyText"/>
        <w:spacing w:line="362" w:lineRule="auto"/>
        <w:ind w:firstLine="480"/>
        <w:jc w:val="both"/>
      </w:pPr>
      <w:r>
        <w:rPr/>
        <w:t>“曼殊尸利，譬如真颇致迦摩尼宝，随衣种种故有种种色。曼殊尸利，若颇致迦摩尼宝，置黄衣上，颇致迦摩尼宝即作黄色；若置赤衣上，颇致迦摩尼宝即作赤色；若置青衣上，颇致迦摩尼宝即作青色；如是置何似何似色上，还作如是色。曼殊尸利，颇致迦摩尼宝，亦无分别无异分别。如是，如是，曼殊尸利，如来随众生色，作种种色。曼殊尸利，若众生以金色如来身现而得化度者，彼等当见金色如来身。若众生以鞞琉璃夜摩尼宝色得化度者，彼等当见鞞琉璃夜摩尼宝色。若众生以真珠色得化度者，彼等当见如来真珠色。若众生以天帝青摩尼宝色得化度者，彼等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3"/>
      </w:pPr>
      <w:r>
        <w:rPr/>
        <w:pict>
          <v:line style="position:absolute;mso-position-horizontal-relative:page;mso-position-vertical-relative:page;z-index:251666432" from="574.012451pt,28.999975pt" to="574.012451pt,763.393974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7456" from="35.006748pt,28.999975pt" to="35.006748pt,763.393974pt" stroked="true" strokeweight=".80090pt" strokecolor="#000000">
            <v:stroke dashstyle="solid"/>
            <w10:wrap type="none"/>
          </v:line>
        </w:pict>
      </w:r>
      <w:r>
        <w:rPr/>
        <w:t>当见如来天帝青摩尼宝色。曼殊尸利，若众生以大青摩尼宝色得化度者，彼等当见如来大青摩尼宝色。若众生以诸光选择上摩尼宝色得化度者，彼等当见如来诸光选择摩尼宝色。若众生以海住持净庄严普炎光摩尼宝色得化度者，彼等当见如来海住持净庄严普炎光摩尼宝色。若众生以师子须摩尼宝色得化度者，彼等当见如来师子须摩尼宝色。若众生以师子幢上摩尼宝色得化度者，彼等当见如来师子幢上摩尼宝色。曼殊尸利，若众生以电灯摩尼宝色得化度者，彼等当见如来电灯摩尼宝色。若众生以水净摩尼宝色得化度者，彼等当见如来水净摩尼宝色。曼殊尸利，如是若以婆啰诃摩舍迦啰护世等色得化度者，彼等当见如来婆啰诃摩舍迦啰护世等色；乃至那啰迦畜生、饿鬼、阎魔世所生中，若彼色类所生众生，随以何等色身色威仪得化度者，彼等当见如来如是色身色威仪。如是卵生、胎生、湿生、化生，色、无色、想、无想、非想非非想，随以何等色身色威仪得化度者，彼等当见如来如是色身色威仪。而如来亦无分别无异分别：‘欲令此等众生见 我，莫见鞞琉璃夜色。此等众生见我鞞琉璃夜色，莫见天帝青摩尼宝色。此等众生见我天帝青摩尼宝色，莫见大青摩尼宝色。此等众生见我大青摩尼宝色，莫见诸光选择摩尼宝色。此等众生见我诸光选择摩尼宝色，莫见自在王摩尼宝色。此等众生见我自在王摩尼宝色，莫见海住持净庄严普炎光摩尼宝色。此等众生见我海住持净庄严普炎光摩尼宝色，莫见师子须摩尼宝色。此等众生见我师子须摩尼宝色，莫见师子幢上摩尼宝色。’如是诸处，如来亦无分别无异分别；然无功用无分别故，如是等色所作事转。</w:t>
      </w:r>
    </w:p>
    <w:p>
      <w:pPr>
        <w:pStyle w:val="BodyText"/>
        <w:spacing w:line="362" w:lineRule="auto" w:before="3"/>
        <w:ind w:firstLine="480"/>
        <w:jc w:val="both"/>
      </w:pPr>
      <w:r>
        <w:rPr/>
        <w:t>“曼殊尸利，譬如自在王摩尼宝所生处，彼处不生铁若铁作具。曼殊尸利，其自在王无分别念，彼亦不如是念：‘我所生处，彼处莫生铁若铁作具。’曼殊尸利，而自在王摩尼宝所生处， 彼处不生铁若铁作具。如是，如是，曼殊尸利，所有佛土，如来出生彼处，不生柘啰迦波利婆啰阇迦泥揵连他等诸外道，彼处不生诸恶作等，彼处不生诸乱，彼处不生诸无间，彼处不生十不善业道，彼处不生王教违背法者，彼处不生日月光明，彼处不生婆啰诃摩、舍迦啰、护世等诸天光明，彼处不生摩尼光明、若火光明，彼处不生牟侯利多、半牟侯利多、月半月岁算数等。曼殊尸利，唯除如来住持为成熟众生。曼殊尸利，如来亦无分别无异分别；然随众生，以无功用无分别故此等事转。</w:t>
      </w:r>
    </w:p>
    <w:p>
      <w:pPr>
        <w:pStyle w:val="BodyText"/>
        <w:spacing w:line="362" w:lineRule="auto" w:before="2"/>
        <w:ind w:firstLine="480"/>
      </w:pPr>
      <w:r>
        <w:rPr/>
        <w:t>“曼殊尸利，譬如大青摩尼宝光明所触者，彼等皆作大青摩尼宝色，而大青摩尼宝无分别 念。如是，如是，曼殊尸利，其为如来攀缘意光所触者，彼等皆作遍智色，如来亦无分别无异分别。曼殊尸利，然如来以无功用无分别故，此等事转。</w:t>
      </w:r>
    </w:p>
    <w:p>
      <w:pPr>
        <w:pStyle w:val="BodyText"/>
        <w:spacing w:line="362" w:lineRule="auto" w:before="1"/>
        <w:ind w:firstLine="480"/>
      </w:pPr>
      <w:r>
        <w:rPr/>
        <w:t>“曼殊尸利，譬如善作成就大鞞琉璃摩尼宝，随所有边，安置诸庄严具中，若足庄严具中、若头庄严具中。彼彼庄严具中最极光照，及彼等庄严具亦最极光照，是彼鞞琉璃摩尼宝威力故。如是，如是，曼殊尸利，如来应等正觉，随所有行威仪住处，随所有行中住，彼彼行中最极光 照，及彼行亦最极光照，是彼如来威力故。曼殊尸利，如来亦无分别无异分别；然如来以无功用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before="83"/>
        <w:ind w:right="0"/>
      </w:pPr>
      <w:r>
        <w:rPr/>
        <w:pict>
          <v:line style="position:absolute;mso-position-horizontal-relative:page;mso-position-vertical-relative:page;z-index:251668480" from="574.012451pt,29.000004pt" to="574.012451pt,763.394003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9504" from="35.006748pt,29.000004pt" to="35.006748pt,763.394003pt" stroked="true" strokeweight=".80090pt" strokecolor="#000000">
            <v:stroke dashstyle="solid"/>
            <w10:wrap type="none"/>
          </v:line>
        </w:pict>
      </w:r>
      <w:r>
        <w:rPr/>
        <w:t>无分别故，此等事转。</w:t>
      </w:r>
    </w:p>
    <w:p>
      <w:pPr>
        <w:pStyle w:val="BodyText"/>
        <w:spacing w:line="362" w:lineRule="auto" w:before="158"/>
        <w:ind w:firstLine="480"/>
        <w:jc w:val="both"/>
      </w:pPr>
      <w:r>
        <w:rPr/>
        <w:t>“曼殊尸利，譬如地依止故地住持故，诸草木、药林、种子增长广成。曼殊尸利，其地无分别念；然以无功用无分别故，此等事转。如是，如是，曼殊尸利，如来依止故，如来住持故，诸众生诸善根增长广成，如来亦无分别无异分别；然如来以无功用无分别故，此等事转。</w:t>
      </w:r>
    </w:p>
    <w:p>
      <w:pPr>
        <w:pStyle w:val="BodyText"/>
        <w:spacing w:line="362" w:lineRule="auto"/>
        <w:ind w:firstLine="480"/>
      </w:pPr>
      <w:r>
        <w:rPr/>
        <w:t>“曼殊尸利，譬如云气覆诸地已，于种种草木药林处所遍雨大雨，彼水一味，而令种种草木药林增长，种种处所、种种味、种种色彼水住。曼殊尸利，其云无分别念；然以无功用无分别 故，此等事转。如是，如是，曼殊尸利，如来应等正觉以佛身云，遍布满十方世界已，于诸众生种种积集善根，种种作愿、种种内心信解、种种解脱住处，遍雨种种法雨；所有种种积集善根， 众生作愿，内心信解，各各善根作愿，内信解脱住处，以种种法雨故，随能随力，令其善根增 长。曼殊尸利，如来亦无分别无异分别：‘我为此等众生增长善根，令其得声闻智。我为此等众生增长善根，令其得独觉智。我为此等众生增长善根，令其得佛陀智。我为此等众生增长善根， 令其生四天大王宫。我为此等增长善根，令其生三十三天宫。’如是略说，乃至夜摩、兜率多、化乐、他化自在，如是婆啰诃摩众、婆啰诃摩师、少光、无量光、光音、少净、无量净、遍净、大果、福生、净居、阿迦尼沙诧。曼殊尸利，如来不如是分别：‘令此等众生增长善根，当生种种王处。令此等众生增长善根，当生种种人处。令此等众生增长善根，当生种种自在处。’曼殊尸利，如来亦无分别无异分别。曼殊尸利，然如来以无功用无分别故，随诸众生作愿，内心信 解，积集善根，此如是等色类事转。如来于诸处舍，无有分别。</w:t>
      </w:r>
    </w:p>
    <w:p>
      <w:pPr>
        <w:pStyle w:val="BodyText"/>
        <w:spacing w:line="362" w:lineRule="auto" w:before="3"/>
        <w:ind w:firstLine="480"/>
        <w:jc w:val="both"/>
      </w:pPr>
      <w:r>
        <w:rPr/>
        <w:t>“曼殊尸利，譬如日轮出时，其间次第，放无数俱致那由多百千光炎，除去阎浮洲中所有诸闇，其日轮亦无分别无异分别；然以无功用无分别故，此等事转。如是，如是，曼殊尸利，如来日轮出时，其间次第，放无数俱致那由多百千智炎，除去诸见作闇，唯除佛住持成熟众生故。曼殊尸利，如来亦无分别：‘我为众生今破散见事，当破散见事。’曼殊尸利，然如来以无功用无分别故，此如是等色类事转。</w:t>
      </w:r>
    </w:p>
    <w:p>
      <w:pPr>
        <w:pStyle w:val="BodyText"/>
        <w:spacing w:line="362" w:lineRule="auto" w:before="1"/>
        <w:ind w:firstLine="480"/>
        <w:jc w:val="both"/>
      </w:pPr>
      <w:r>
        <w:rPr/>
        <w:t>“曼殊尸利，如来于诸处舍无有分别。曼殊尸利，譬如为幻所化，由幻师故现种种事，以无功用无分别故分种种身。曼殊尸利，彼幻所化不可说，不生不灭，无字无声，无方处无有物，无想无思，无二无行，无等无对。曼殊尸利，然彼为幻所化，由幻师故现种种事，以无功用无分别故。如是，如是，曼殊尸利，如来应等正觉，随众生故，种种所行威仪事入处示现。曼殊尸利， 彼如来不可说，不生不灭，无字无声，无方处无有物，无想无思，无二无行，与法界等无对。</w:t>
      </w:r>
    </w:p>
    <w:p>
      <w:pPr>
        <w:pStyle w:val="BodyText"/>
        <w:spacing w:line="362" w:lineRule="auto" w:before="1"/>
        <w:ind w:right="348" w:firstLine="480"/>
      </w:pPr>
      <w:r>
        <w:rPr/>
        <w:t>“曼殊尸利，譬如日由修迷留山王故，四大洲中众生，或有见出时，或有见下时，或有见日高来时，或有知下入时，或有知半夜时，或有中时，或有知日出来初打鼓时(彼国一日分为四分， 若尽一分则打鼓为节，此谓四分中初打鼓时)，或有下入初打鼓时，或有残日打鼓时，或有残夜打鼓时。如是日轮，四大洲中众生各各异见，其日轮亦无分别无异分别；然由修迷留故，四洲世界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4"/>
      </w:pPr>
      <w:r>
        <w:rPr/>
        <w:pict>
          <v:line style="position:absolute;mso-position-horizontal-relative:page;mso-position-vertical-relative:page;z-index:251670528" from="574.012451pt,28.999523pt" to="574.012451pt,763.393522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71552" from="35.006748pt,28.999523pt" to="35.006748pt,763.393522pt" stroked="true" strokeweight=".80090pt" strokecolor="#000000">
            <v:stroke dashstyle="solid"/>
            <w10:wrap type="none"/>
          </v:line>
        </w:pict>
      </w:r>
      <w:r>
        <w:rPr/>
        <w:t>中现种种事，以无功用无分别故。如是，如是，曼殊尸利，如来应等正觉，于此一众中，或有众生知如来欲证觉，或有知欲涅槃，或有知世尊已证觉，或有此众中知世尊已涅槃，或有世尊证觉已十年，或有知世尊涅槃已十千年，或有知世尊法教纯至时，或有知世尊法教隐没时，或有知世尊说法已十、二十、三十、四十年，或有知世尊涅槃已十、二十、三十、四十俱致那由多百千 劫。曼殊尸利，或有天人知奢迦夜牟尼世尊证觉已不可说不可说劫。曼殊尸利，如来亦无分别无异分别。曼殊尸利，然如来以无功用无分别故，随众生有如是色类，所作事转。</w:t>
      </w:r>
    </w:p>
    <w:p>
      <w:pPr>
        <w:pStyle w:val="BodyText"/>
        <w:spacing w:line="362" w:lineRule="auto" w:before="2"/>
        <w:ind w:firstLine="480"/>
      </w:pPr>
      <w:r>
        <w:rPr/>
        <w:t>“曼殊尸利，譬如阎浮洲中，大风轮吹时，其诸草木药林叶动，振已复振，乱已复乱，或有叶东方低西方举，或有叶西方低东方举，或有叶边举中低，或有北方举南方低；其草木药林叶亦无分别，然随风轮故，种种所作事转如是。如是，曼殊尸利，如来应等正觉，亦无分别无异分 别；然随众生故，于叉拏叉拏间，常有如是不可数行威仪所作事入处转。</w:t>
      </w:r>
    </w:p>
    <w:p>
      <w:pPr>
        <w:pStyle w:val="BodyText"/>
        <w:spacing w:line="362" w:lineRule="auto"/>
        <w:ind w:firstLine="480"/>
        <w:jc w:val="both"/>
      </w:pPr>
      <w:r>
        <w:rPr/>
        <w:t>“曼殊尸利，众生所有攀缘，如来作意念，转还尔许劫，所有那啰迦畜生、饿鬼、阎摩世等生处，当断当回。曼殊尸利，如来如是无量具足。曼殊尸利，能一攀缘如来作意念事，于无量无数俱致那由多百千劫中，住不可思解脱三摩地菩萨摩诃萨，不能至其功德边际。</w:t>
      </w:r>
    </w:p>
    <w:p>
      <w:pPr>
        <w:pStyle w:val="BodyText"/>
        <w:spacing w:line="362" w:lineRule="auto" w:before="1"/>
        <w:ind w:firstLine="480"/>
      </w:pPr>
      <w:r>
        <w:rPr/>
        <w:t>“曼殊尸利，譬如日从大海起，出住虚空境界，放无数俱致那由多百千炎，诸村城邑国土王都中示现，而与破散黑闇，干诸浊泥生长诸草木药林，成熟诸药，发起诸所作业，于诸河池泊 中，一时影到而住处不动。曼殊尸利，日轮亦无分别无异分别；然以无功用无分别故，此等如是色类事转。如是，如是，曼殊尸利，如来应等正觉，从有海起，出住虚空境界，放无数俱致那由多百千智炎，十方诸世界中遍布示现，与诸众生破散无明黑闇翳膜，干诸烦恼浊泥，生长诸善 根，成熟诸善根聚，发起诸善门，并于一时诸所作转，而住处不动。曼殊尸利，如来亦无分别无异分别；然以无功用无分别故，此等如是色类事转。</w:t>
      </w:r>
    </w:p>
    <w:p>
      <w:pPr>
        <w:pStyle w:val="BodyText"/>
        <w:spacing w:line="362" w:lineRule="auto" w:before="1"/>
        <w:ind w:firstLine="480"/>
      </w:pPr>
      <w:r>
        <w:rPr/>
        <w:t>“曼殊尸利，若有善家子、善家女，十方诸世界中所有微尘等诸佛及声闻众，施天百味食， 日日施天衣；如是施时，于恒伽河沙等劫施。彼等灭度已，为一一如来，遍十方世界，于一一世界中，作十方诸世界微尘等娑偷波，阎浮那陀金为体，电灯摩尼宝为间错，诸光选摩尼宝栏楯围绕，摩尼珠悬以庄严，立幢幡盖，铃网覆上，塗以大蛇牢固栴檀那香，以摩尼网覆上。彼等娑偷波，以三千大千世界量等天盖云、幢云、香云、自在王摩尼宝云、如意摩尼宝云，散以复散；日日三时，如是供养，于恒伽河沙等劫供养。复有别异无量无数众生，亦教住如是供养。曼殊尸 利，若有别异善家子、善家女，此说入如来功德不思境界法本，乃至信解，此过彼无数分福德 生。</w:t>
      </w:r>
    </w:p>
    <w:p>
      <w:pPr>
        <w:pStyle w:val="BodyText"/>
        <w:spacing w:line="362" w:lineRule="auto" w:before="2"/>
        <w:ind w:firstLine="480"/>
        <w:jc w:val="both"/>
      </w:pPr>
      <w:r>
        <w:rPr/>
        <w:t>“曼殊尸利，信解此法本菩萨，当满足无量无数俱致那由多百千波罗蜜，当超越无量无数俱致那由多百千地，当后面背无量无数俱致那由多百千劫，当知无量无数俱致那由多百千佛游戏， 当破散无量无数憍慢山，当倒无量无数悭妒幢，当干竭无量无数渴爱河，当度无量无数生死海，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5"/>
        <w:jc w:val="both"/>
      </w:pPr>
      <w:r>
        <w:rPr/>
        <w:pict>
          <v:line style="position:absolute;mso-position-horizontal-relative:page;mso-position-vertical-relative:page;z-index:251672576" from="574.012451pt,28.999552pt" to="574.012451pt,763.393551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73600" from="35.006748pt,28.999552pt" to="35.006748pt,763.393551pt" stroked="true" strokeweight=".80090pt" strokecolor="#000000">
            <v:stroke dashstyle="solid"/>
            <w10:wrap type="none"/>
          </v:line>
        </w:pict>
      </w:r>
      <w:r>
        <w:rPr/>
        <w:t>当断无量无数摩啰罥索，当遮障日月、舍迦啰、婆啰诃摩、护世尊威力，从佛土至佛土，当救护那啰迦低利夜卑黎多夜摩世等所生众生，当得逢会诸佛菩萨。当得海印三摩地，当得名诸法平等入三摩地，当得名诸法自在转三摩地，当得名诸相庄严三摩地，当得名宝所生三摩地，当得名作喜三摩地，当得名莲华庄严三摩地，当得名虚空库藏三摩地，当得名诸世顺行三摩地，当得名正法白华三摩地，当得名境界自在转三摩地，当得名大频申三摩地，当得名虚空心自在转三摩地， 当得名师子频申三摩地，当得名日灯三摩地，当得名无边旋流三摩地，当得名悬峻顺行三摩地， 当得名金刚轮三摩地，当得名金刚幢三摩地，当得名如金刚三摩地，当得名金刚齐三摩地，当得名持地三摩地，当得名迷留灯三摩地，当得名诸众生心自在转三摩地，当得名诸众生行境界出三摩地，当得名迷留幢三摩地，当得名宝藏三摩地，当得名心自在转三摩地，当得名深密方便三摩地，当得名杂色光辩三摩地，当得名观视三摩地，当得名观察诸法三摩地，当得名游戏三摩地， 当得名不喜乐诸胜智通三摩地，当得名破散摩啰轮三摩地，当得名示现诸色三摩地，当得名胜益诸色三摩地，当得名观身三摩地，当得名信行主三摩地，当得名智慧灯三摩地，当得名现觉灯三摩地，当得名说别缺三摩地，当得名入诸相功德三摩地，当得名决定诸法行三摩地，当得名寂静决定神通三摩地，当得名健行三摩地，当得名深无畏水海波三摩地，当得如是等为首，俱致那由多百千不可数三摩地。当得无边佛身色成就出陀罗尼，当得名智主陀罗尼，当得名清净音鸣陀罗尼，当得名无尽箧陀罗尼，当得名无边渊陀罗尼，当得名海印陀罗尼，当得名莲华庄严陀罗尼， 当得名入无著门陀罗尼，当得名正决定陀罗尼，当得名佛璎珞住持陀罗尼，当得如是等为首，俱致那由多百千不可数陀罗尼。当顺得诸行胜，当顺得诸法中不由他智，当顺得诸疑断，当得佛百千不可数游戏，当得善巧胜诸众生行。曼殊尸利，譬如修迷留山王，映蔽诸山光炽照曜。如是， 如是，曼殊尸利，此法本中，信解菩萨，映蔽众生，诸善根光炽照曜。”</w:t>
      </w:r>
    </w:p>
    <w:p>
      <w:pPr>
        <w:pStyle w:val="BodyText"/>
        <w:spacing w:line="362" w:lineRule="auto" w:before="4"/>
        <w:ind w:firstLine="480"/>
      </w:pPr>
      <w:r>
        <w:rPr/>
        <w:t>尔时，曼殊尸利童子，告闭塞诸盖菩萨摩诃萨言：“佛子，更有别胜法中信解菩萨，当得如是别胜功德？”</w:t>
      </w:r>
    </w:p>
    <w:p>
      <w:pPr>
        <w:pStyle w:val="BodyText"/>
        <w:spacing w:line="362" w:lineRule="auto"/>
        <w:ind w:firstLine="480"/>
        <w:jc w:val="both"/>
      </w:pPr>
      <w:r>
        <w:rPr/>
        <w:t>如是语已，闭塞诸盖菩萨摩诃萨，告曼殊尸利童子言：“曼殊尸利，有五法信解菩萨，当得如是别胜功德。何者为五？诸法无对、无生无灭、不可说，当如是信解。过阎浮洲最微尘，如来所行威仪，所作入处，无功用无分别，于念念中常转，当如是信解。于常会中所作，成熟众生， 彼世尊奢迦牟尼，于恒伽河沙等劫中已证觉，当如是信解。从燃灯佛受记已来，乃至证觉，于此中间，所有菩萨行，彼世尊奢迦牟尼，尽佛境界等劫已，证觉示现，当如是信解。诛杀奢迦，示现所作，成熟众生，彼世尊奢迦牟尼，尽佛境界等劫已，证觉示现，当如是信解。曼殊尸利，如是五种信解菩萨，当得如是别胜功德。</w:t>
      </w:r>
    </w:p>
    <w:p>
      <w:pPr>
        <w:pStyle w:val="BodyText"/>
        <w:spacing w:line="362" w:lineRule="auto" w:before="2"/>
        <w:ind w:firstLine="480"/>
      </w:pPr>
      <w:r>
        <w:rPr/>
        <w:t>“曼殊尸利，若有善家子、善家女，施诸世界微尘等八解脱定阿罗汉，天百味食，日日以天衣施；如是施与，于恒伽河沙等劫施。曼殊尸利，若有善家子、善家女，一日施一独觉食，此于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before="86"/>
        <w:ind w:right="0"/>
      </w:pPr>
      <w:r>
        <w:rPr/>
        <w:pict>
          <v:group style="position:absolute;margin-left:34.6063pt;margin-top:28.99968pt;width:539.85pt;height:601.8pt;mso-position-horizontal-relative:page;mso-position-vertical-relative:page;z-index:-251799552" coordorigin="692,580" coordsize="10797,12036">
            <v:line style="position:absolute" from="11480,580" to="11480,12151" stroked="true" strokeweight=".80090pt" strokecolor="#000000">
              <v:stroke dashstyle="solid"/>
            </v:line>
            <v:line style="position:absolute" from="700,580" to="700,12151" stroked="true" strokeweight=".80090pt" strokecolor="#000000">
              <v:stroke dashstyle="solid"/>
            </v:line>
            <v:rect style="position:absolute;left:692;top:12150;width:10797;height:465" filled="true" fillcolor="#ff9933" stroked="false">
              <v:fill type="solid"/>
            </v:rect>
            <v:rect style="position:absolute;left:700;top:12158;width:10781;height:449" filled="false" stroked="true" strokeweight=".80090pt" strokecolor="#000000">
              <v:stroke dashstyle="solid"/>
            </v:rect>
            <v:shape style="position:absolute;left:1252;top:10965;width:65;height:481" coordorigin="1253,10965" coordsize="65,481" path="m1317,11414l1315,11400,1309,11390,1299,11384,1285,11382,1271,11384,1261,11390,1255,11400,1253,11414,1255,11428,1261,11438,1271,11444,1285,11446,1299,11444,1309,11438,1315,11428,1317,11414m1317,10997l1315,10983,1309,10973,1299,10967,1285,10965,1271,10967,1261,10973,1255,10983,1253,10997,1255,11011,1261,11021,1271,11027,1285,11029,1299,11027,1309,11021,1315,11011,1317,10997e" filled="true" fillcolor="#000000" stroked="false">
              <v:path arrowok="t"/>
              <v:fill type="solid"/>
            </v:shape>
            <w10:wrap type="none"/>
          </v:group>
        </w:pict>
      </w:r>
      <w:r>
        <w:rPr/>
        <w:t>彼福，胜过无数分生。曼殊尸利，若有善家子、善家女，作十方诸世界微尘等游行处(旧译云</w:t>
      </w:r>
    </w:p>
    <w:p>
      <w:pPr>
        <w:pStyle w:val="BodyText"/>
        <w:spacing w:line="362" w:lineRule="auto" w:before="157"/>
        <w:ind w:right="348"/>
      </w:pPr>
      <w:r>
        <w:rPr/>
        <w:t>寺)，一一世界中，阎浮那陀金为体，电灯摩尼宝以为间错，诸光选择摩尼宝，栏楯围绕，摩尼珠宝贯束所作，庄严建立诸盖幢幡，铃网为帐，蛇行牢固栴檀那以为泥塗，自在王摩尼宝以覆其</w:t>
      </w:r>
    </w:p>
    <w:p>
      <w:pPr>
        <w:pStyle w:val="BodyText"/>
        <w:spacing w:line="362" w:lineRule="auto"/>
      </w:pPr>
      <w:r>
        <w:rPr/>
        <w:t>上，海住持清净普光摩尼宝为柱，以网连系师子须摩尼宝版以覆其上，师子幢胜摩尼宝以为却 敌，女墙寮窗，悬缯帛束，为彼独觉，作千不可数。为彼独觉，日日施以天百味食，亦施天衣； 如是施与，于恒伽河沙等劫施。曼殊尸利，若善家子、善家女，闻佛世尊如来声，此于彼福，胜过无数分生，何况若于作画处、若作泥塑处见如来！此于彼福，胜过无数分生，何况施灯、烧 香、塗香、华等！若更别有种种供具，此于彼福，胜过无数分生，何况为如来故，一日护持一 戒！此于彼福，胜过无数分生。</w:t>
      </w:r>
    </w:p>
    <w:p>
      <w:pPr>
        <w:pStyle w:val="BodyText"/>
        <w:spacing w:line="362" w:lineRule="auto" w:before="1"/>
        <w:ind w:firstLine="480"/>
      </w:pPr>
      <w:r>
        <w:rPr/>
        <w:t>“曼殊尸利，若善家子、善家女，十方世界微尘等诸如来及诸菩萨，并声闻众，日日施以天百味食及施天衣；如是施与，于恒伽河沙等劫施。彼等世尊灭度后，为一一如来，十方世界微尘等造娑偷波。一一娑偷波，量与四洲等。诸种相具足，诸功德成就，阎浮那陀金为体，电灯摩尼宝为间错，诸光选择摩尼宝栏楯围绕，摩尼珠宝贯束庄严，建立诸盖幢幡，铃网为帐，蛇行牢固栴檀那以为泥塗，自在王摩尼宝以覆其上。彼等娑偷波，日日以三千大千量等盖云、幡云、宝 云、音乐云、璎珞云、师子幢胜月云、天作鼓乐歌音云，以散其上，散已复散，而不信解此法 本。曼殊尸利，若有善家子、善家女，此入如来功德智不思境界名法本信解者，乃至畜生趣众生施一搏食。此于彼福，胜过无数分生。</w:t>
      </w:r>
    </w:p>
    <w:p>
      <w:pPr>
        <w:pStyle w:val="BodyText"/>
        <w:spacing w:line="362" w:lineRule="auto" w:before="2"/>
        <w:ind w:firstLine="480"/>
        <w:jc w:val="both"/>
      </w:pPr>
      <w:r>
        <w:rPr/>
        <w:t>“曼殊尸利，若有信解此修多罗菩萨，如此修多罗中所说供养如来。若复有菩萨，见此修多罗中信解菩萨，见已，作如是意：‘此信解此修多啰。’以如是意，得大欢喜净信心已，从座而起，合掌顶礼，随堪随力，摄取供养。此于彼福，胜过无数分生，当得佛智故！”</w:t>
      </w:r>
    </w:p>
    <w:p>
      <w:pPr>
        <w:pStyle w:val="BodyText"/>
        <w:ind w:left="930" w:right="0"/>
      </w:pPr>
      <w:r>
        <w:rPr/>
        <w:t>佛说此时，彼诸比丘，及诸菩萨，天、人、阿修罗、揵闼婆等世，于佛所说，欢喜奉行。</w:t>
      </w:r>
    </w:p>
    <w:p>
      <w:pPr>
        <w:pStyle w:val="BodyText"/>
        <w:ind w:left="0" w:right="0"/>
        <w:rPr>
          <w:sz w:val="20"/>
        </w:rPr>
      </w:pPr>
    </w:p>
    <w:p>
      <w:pPr>
        <w:pStyle w:val="BodyText"/>
        <w:spacing w:before="5"/>
        <w:ind w:left="0" w:right="0"/>
        <w:rPr>
          <w:sz w:val="18"/>
        </w:rPr>
      </w:pPr>
    </w:p>
    <w:p>
      <w:pPr>
        <w:pStyle w:val="BodyText"/>
        <w:spacing w:line="324" w:lineRule="auto" w:before="66"/>
        <w:ind w:left="873" w:right="4137"/>
      </w:pPr>
      <w:hyperlink r:id="rId5">
        <w:r>
          <w:rPr>
            <w:color w:val="878787"/>
          </w:rPr>
          <w:t>上一部：乾隆大藏经·大乘华严部·信力入印法门经五卷</w:t>
        </w:r>
      </w:hyperlink>
      <w:hyperlink r:id="rId6">
        <w:r>
          <w:rPr>
            <w:color w:val="878787"/>
          </w:rPr>
          <w:t>下一部：乾隆大藏经·大乘华严部·佛说如来兴显经四卷</w:t>
        </w:r>
      </w:hyperlink>
    </w:p>
    <w:p>
      <w:pPr>
        <w:pStyle w:val="BodyText"/>
        <w:ind w:left="0" w:right="0"/>
      </w:pPr>
    </w:p>
    <w:p>
      <w:pPr>
        <w:pStyle w:val="BodyText"/>
        <w:spacing w:before="3"/>
        <w:ind w:left="0" w:right="0"/>
        <w:rPr>
          <w:sz w:val="21"/>
        </w:rPr>
      </w:pPr>
    </w:p>
    <w:p>
      <w:pPr>
        <w:pStyle w:val="BodyText"/>
        <w:ind w:left="2371" w:right="2368"/>
        <w:jc w:val="center"/>
      </w:pPr>
      <w:r>
        <w:rPr>
          <w:color w:val="DDDDDD"/>
        </w:rPr>
        <w:t>乾隆大藏经·大乘华严部·佛华严入如来德智不思议境界经</w:t>
      </w:r>
    </w:p>
    <w:sectPr>
      <w:pgSz w:w="12240" w:h="15840"/>
      <w:pgMar w:top="580" w:bottom="280" w:left="5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imSun">
    <w:altName w:val="SimSun"/>
    <w:charset w:val="0"/>
    <w:family w:val="auto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·"/>
      <w:lvlJc w:val="left"/>
      <w:pPr>
        <w:ind w:left="911" w:hanging="369"/>
      </w:pPr>
      <w:rPr>
        <w:rFonts w:hint="default" w:ascii="SimSun" w:hAnsi="SimSun" w:eastAsia="SimSun" w:cs="SimSun"/>
        <w:color w:val="FF3300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·"/>
      <w:lvlJc w:val="left"/>
      <w:pPr>
        <w:ind w:left="4252" w:hanging="369"/>
      </w:pPr>
      <w:rPr>
        <w:rFonts w:hint="default" w:ascii="SimSun" w:hAnsi="SimSun" w:eastAsia="SimSun" w:cs="SimSun"/>
        <w:color w:val="993300"/>
        <w:w w:val="100"/>
        <w:sz w:val="24"/>
        <w:szCs w:val="24"/>
        <w:lang w:val="zh-CN" w:eastAsia="zh-CN" w:bidi="zh-CN"/>
      </w:rPr>
    </w:lvl>
    <w:lvl w:ilvl="2">
      <w:start w:val="0"/>
      <w:numFmt w:val="bullet"/>
      <w:lvlText w:val="•"/>
      <w:lvlJc w:val="left"/>
      <w:pPr>
        <w:ind w:left="4982" w:hanging="3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5704" w:hanging="3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6426" w:hanging="3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7148" w:hanging="3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871" w:hanging="3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8593" w:hanging="3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9315" w:hanging="369"/>
      </w:pPr>
      <w:rPr>
        <w:rFonts w:hint="default"/>
        <w:lang w:val="zh-CN" w:eastAsia="zh-CN" w:bidi="zh-C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SimSun" w:hAnsi="SimSun" w:eastAsia="SimSun" w:cs="SimSun"/>
      <w:lang w:val="zh-CN" w:eastAsia="zh-CN" w:bidi="zh-CN"/>
    </w:rPr>
  </w:style>
  <w:style w:styleId="BodyText" w:type="paragraph">
    <w:name w:val="Body Text"/>
    <w:basedOn w:val="Normal"/>
    <w:uiPriority w:val="1"/>
    <w:qFormat/>
    <w:pPr>
      <w:ind w:left="449" w:right="477"/>
    </w:pPr>
    <w:rPr>
      <w:rFonts w:ascii="SimSun" w:hAnsi="SimSun" w:eastAsia="SimSun" w:cs="SimSun"/>
      <w:sz w:val="24"/>
      <w:szCs w:val="24"/>
      <w:lang w:val="zh-CN" w:eastAsia="zh-CN" w:bidi="zh-CN"/>
    </w:rPr>
  </w:style>
  <w:style w:styleId="ListParagraph" w:type="paragraph">
    <w:name w:val="List Paragraph"/>
    <w:basedOn w:val="Normal"/>
    <w:uiPriority w:val="1"/>
    <w:qFormat/>
    <w:pPr/>
    <w:rPr>
      <w:lang w:val="zh-CN" w:eastAsia="zh-CN" w:bidi="zh-CN"/>
    </w:rPr>
  </w:style>
  <w:style w:styleId="TableParagraph" w:type="paragraph">
    <w:name w:val="Table Paragraph"/>
    <w:basedOn w:val="Normal"/>
    <w:uiPriority w:val="1"/>
    <w:qFormat/>
    <w:pPr>
      <w:spacing w:before="1"/>
      <w:ind w:left="327"/>
    </w:pPr>
    <w:rPr>
      <w:rFonts w:ascii="SimSun" w:hAnsi="SimSun" w:eastAsia="SimSun" w:cs="SimSun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qldzj.com/htmljw/0086.htm" TargetMode="External"/><Relationship Id="rId6" Type="http://schemas.openxmlformats.org/officeDocument/2006/relationships/hyperlink" Target="http://qldzj.com/htmljw/0088.htm" TargetMode="External"/><Relationship Id="rId7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2019-12-06T06:51:38Z</dcterms:created>
  <dcterms:modified xsi:type="dcterms:W3CDTF">2019-12-06T06:51:38Z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2019-12-06T00:00:00Z</vt:filetime>
  </property>
  <property fmtid="{D5CDD505-2E9C-101B-9397-08002B2CF9AE}" pid="3" name="Creator">
    <vt:lpwstr>Mozilla/5.0 (Windows NT 5.1) AppleWebKit/537.36 (KHTML, like Gecko) Chrome/49.0.2623.112 Safari/537.36</vt:lpwstr>
  </property>
  <property fmtid="{D5CDD505-2E9C-101B-9397-08002B2CF9AE}" pid="4" name="LastSaved">
    <vt:filetime>2019-12-06T00:00:00Z</vt:filetime>
  </property>
</Properties>
</file>