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3584"/>
        <w:gridCol w:w="3579"/>
      </w:tblGrid>
      <w:tr>
        <w:trPr>
          <w:trHeight w:val="476" w:hRule="atLeast"/>
        </w:trPr>
        <w:tc>
          <w:tcPr>
            <w:tcW w:w="3617" w:type="dxa"/>
            <w:tcBorders>
              <w:right w:val="nil"/>
            </w:tcBorders>
            <w:shd w:val="clear" w:color="auto" w:fill="FF9933"/>
          </w:tcPr>
          <w:p>
            <w:pPr>
              <w:pStyle w:val="TableParagraph"/>
              <w:spacing w:before="86"/>
              <w:ind w:left="327"/>
              <w:rPr>
                <w:sz w:val="24"/>
              </w:rPr>
            </w:pPr>
            <w:r>
              <w:rPr>
                <w:color w:val="DDDDDD"/>
                <w:sz w:val="24"/>
              </w:rPr>
              <w:t>西土圣贤撰集·第1327部</w:t>
            </w:r>
          </w:p>
        </w:tc>
        <w:tc>
          <w:tcPr>
            <w:tcW w:w="3584" w:type="dxa"/>
            <w:tcBorders>
              <w:left w:val="nil"/>
              <w:right w:val="nil"/>
            </w:tcBorders>
            <w:shd w:val="clear" w:color="auto" w:fill="FF9933"/>
          </w:tcPr>
          <w:p>
            <w:pPr>
              <w:pStyle w:val="TableParagraph"/>
              <w:spacing w:before="86"/>
              <w:ind w:left="1061"/>
              <w:rPr>
                <w:sz w:val="24"/>
              </w:rPr>
            </w:pPr>
            <w:r>
              <w:rPr>
                <w:color w:val="EDFFFF"/>
                <w:sz w:val="24"/>
              </w:rPr>
              <w:t>佛治身经一卷</w:t>
            </w:r>
          </w:p>
        </w:tc>
        <w:tc>
          <w:tcPr>
            <w:tcW w:w="3579" w:type="dxa"/>
            <w:tcBorders>
              <w:left w:val="nil"/>
            </w:tcBorders>
            <w:shd w:val="clear" w:color="auto" w:fill="FF9933"/>
          </w:tcPr>
          <w:p>
            <w:pPr>
              <w:pStyle w:val="TableParagraph"/>
              <w:spacing w:before="86"/>
              <w:ind w:left="1097"/>
              <w:rPr>
                <w:sz w:val="24"/>
              </w:rPr>
            </w:pPr>
            <w:r>
              <w:rPr>
                <w:color w:val="DDDDDD"/>
                <w:sz w:val="24"/>
              </w:rPr>
              <w:t>失译人名今附西晋录</w:t>
            </w:r>
          </w:p>
        </w:tc>
      </w:tr>
      <w:tr>
        <w:trPr>
          <w:trHeight w:val="1149"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rPr>
                <w:rFonts w:ascii="Times New Roman"/>
                <w:sz w:val="30"/>
              </w:rPr>
            </w:pPr>
          </w:p>
          <w:p>
            <w:pPr>
              <w:pStyle w:val="TableParagraph"/>
              <w:ind w:left="543"/>
              <w:rPr>
                <w:sz w:val="24"/>
              </w:rPr>
            </w:pPr>
            <w:r>
              <w:rPr>
                <w:color w:val="FF3300"/>
                <w:sz w:val="24"/>
              </w:rPr>
              <w:t>佛治身经</w:t>
            </w:r>
          </w:p>
        </w:tc>
        <w:tc>
          <w:tcPr>
            <w:tcW w:w="358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579" w:type="dxa"/>
            <w:tcBorders>
              <w:left w:val="nil"/>
            </w:tcBorders>
          </w:tcPr>
          <w:p>
            <w:pPr>
              <w:pStyle w:val="TableParagraph"/>
              <w:spacing w:line="213" w:lineRule="auto" w:before="113"/>
              <w:ind w:left="2006" w:right="359"/>
              <w:rPr>
                <w:sz w:val="24"/>
              </w:rPr>
            </w:pPr>
            <w:r>
              <w:rPr>
                <w:sz w:val="24"/>
              </w:rPr>
              <w:t>字体：</w:t>
            </w:r>
            <w:r>
              <w:rPr>
                <w:color w:val="FF3300"/>
                <w:sz w:val="24"/>
              </w:rPr>
              <w:t>大号中号 小号</w:t>
            </w:r>
          </w:p>
        </w:tc>
      </w:tr>
      <w:tr>
        <w:trPr>
          <w:trHeight w:val="7700" w:hRule="atLeast"/>
        </w:trPr>
        <w:tc>
          <w:tcPr>
            <w:tcW w:w="10780" w:type="dxa"/>
            <w:gridSpan w:val="3"/>
          </w:tcPr>
          <w:p>
            <w:pPr>
              <w:pStyle w:val="TableParagraph"/>
              <w:spacing w:before="5"/>
              <w:rPr>
                <w:rFonts w:ascii="Times New Roman"/>
                <w:sz w:val="21"/>
              </w:rPr>
            </w:pPr>
          </w:p>
          <w:p>
            <w:pPr>
              <w:pStyle w:val="TableParagraph"/>
              <w:ind w:left="3329" w:right="3311"/>
              <w:jc w:val="center"/>
              <w:rPr>
                <w:sz w:val="24"/>
              </w:rPr>
            </w:pPr>
            <w:r>
              <w:rPr>
                <w:color w:val="FF3300"/>
                <w:sz w:val="24"/>
              </w:rPr>
              <w:t>佛治身经</w:t>
            </w:r>
          </w:p>
          <w:p>
            <w:pPr>
              <w:pStyle w:val="TableParagraph"/>
              <w:spacing w:before="2"/>
              <w:rPr>
                <w:rFonts w:ascii="Times New Roman"/>
                <w:sz w:val="26"/>
              </w:rPr>
            </w:pPr>
          </w:p>
          <w:p>
            <w:pPr>
              <w:pStyle w:val="TableParagraph"/>
              <w:spacing w:line="362" w:lineRule="auto"/>
              <w:ind w:left="327" w:right="339" w:firstLine="480"/>
              <w:jc w:val="both"/>
              <w:rPr>
                <w:sz w:val="24"/>
              </w:rPr>
            </w:pPr>
            <w:r>
              <w:rPr>
                <w:sz w:val="24"/>
              </w:rPr>
              <w:t>佛言当学工语。不沙门法行。独一处坐。但当正意。一处一卧一行不中正。一为晓身受经。亦独居还使千人一人胜千军中能得胜。一人能胜身。是为胜军中。胜胜。胜者。不如胜。余胜。己胜身常为胜。无力亦不胜摩泛蓝亦不能己胜不能作不胜比丘胜乃不胜先为自身定正教后教余为诸辈如我。自身上头随法行。便教余人。如是易教。己身如是。如教他人。已得身教意。不复难教余。欲教余先自教。还使自教。从身教得黠。为自身他故多人亦莫犯。无有极自身。为自念无有极。自归无有过身。自归不如自归谛。教身已黠。得归已黠。便得法已黠。便得戒已黠。昆弟中不复忧已黠。便得乐已黠。不复忧自身。自归身亦得归他人。己身无有极。教一切从苦得脱。问曰。何等为工语。师曰。说三十七品经为工语。谓所说不乱人意。亦为工语。何等为法行。谓不离二百五十戒。是为法行。何等为一为晓身。谓知分别身中事。何等为军中人能得胜。谓人不能胜恶。何等为一人能胜身。谓意念恶。能自制断。是为胜身。何等为身意教。谓身受七戒。意受三戒。何等为多人亦不犯。谓等心使人不堕结。</w:t>
            </w:r>
          </w:p>
          <w:p>
            <w:pPr>
              <w:pStyle w:val="TableParagraph"/>
              <w:rPr>
                <w:rFonts w:ascii="Times New Roman"/>
                <w:sz w:val="35"/>
              </w:rPr>
            </w:pPr>
          </w:p>
          <w:p>
            <w:pPr>
              <w:pStyle w:val="TableParagraph"/>
              <w:spacing w:line="324" w:lineRule="auto"/>
              <w:ind w:left="751" w:right="2318"/>
              <w:rPr>
                <w:sz w:val="24"/>
              </w:rPr>
            </w:pPr>
            <w:hyperlink r:id="rId5">
              <w:r>
                <w:rPr>
                  <w:color w:val="878787"/>
                  <w:sz w:val="24"/>
                </w:rPr>
                <w:t>上一部：乾隆大藏经·西土圣贤撰集·佛使比丘迦旃延说法没尽偈经一卷</w:t>
              </w:r>
            </w:hyperlink>
            <w:hyperlink r:id="rId6">
              <w:r>
                <w:rPr>
                  <w:color w:val="878787"/>
                  <w:sz w:val="24"/>
                </w:rPr>
                <w:t>下一部：乾隆大藏经·西土圣贤撰集·治意经一卷</w:t>
              </w:r>
            </w:hyperlink>
          </w:p>
        </w:tc>
      </w:tr>
      <w:tr>
        <w:trPr>
          <w:trHeight w:val="428" w:hRule="atLeast"/>
        </w:trPr>
        <w:tc>
          <w:tcPr>
            <w:tcW w:w="10780" w:type="dxa"/>
            <w:gridSpan w:val="3"/>
            <w:shd w:val="clear" w:color="auto" w:fill="FF9933"/>
          </w:tcPr>
          <w:p>
            <w:pPr>
              <w:pStyle w:val="TableParagraph"/>
              <w:spacing w:before="54"/>
              <w:ind w:left="3329" w:right="3311"/>
              <w:jc w:val="center"/>
              <w:rPr>
                <w:sz w:val="24"/>
              </w:rPr>
            </w:pPr>
            <w:r>
              <w:rPr>
                <w:color w:val="DDDDDD"/>
                <w:sz w:val="24"/>
              </w:rPr>
              <w:t>乾隆大藏经·西土圣贤撰集·佛治身经</w:t>
            </w:r>
          </w:p>
        </w:tc>
      </w:tr>
    </w:tbl>
    <w:p>
      <w:pPr>
        <w:rPr>
          <w:sz w:val="2"/>
          <w:szCs w:val="2"/>
        </w:rPr>
      </w:pPr>
      <w:r>
        <w:rPr/>
        <w:pict>
          <v:shape style="position:absolute;margin-left:62.637798pt;margin-top:444.667084pt;width:3.25pt;height:3.25pt;mso-position-horizontal-relative:page;mso-position-vertical-relative:page;z-index:-251732992" coordorigin="1253,8893" coordsize="65,65" path="m1285,8957l1271,8955,1261,8949,1255,8939,1253,8925,1255,8911,1261,8901,1271,8895,1285,8893,1299,8895,1309,8901,1315,8911,1317,8925,1315,8939,1309,8949,1299,8955,1285,8957xe" filled="true" fillcolor="#000000" stroked="false">
            <v:path arrowok="t"/>
            <v:fill type="solid"/>
            <w10:wrap type="none"/>
          </v:shape>
        </w:pict>
      </w:r>
      <w:r>
        <w:rPr/>
        <w:pict>
          <v:shape style="position:absolute;margin-left:62.637798pt;margin-top:465.490479pt;width:3.25pt;height:3.25pt;mso-position-horizontal-relative:page;mso-position-vertical-relative:page;z-index:-251731968" coordorigin="1253,9310" coordsize="65,65" path="m1285,9374l1271,9372,1261,9366,1255,9356,1253,9342,1255,9328,1261,9318,1271,9312,1285,9310,1299,9312,1309,9318,1315,9328,1317,9342,1315,9356,1309,9366,1299,9372,1285,9374xe" filled="true" fillcolor="#000000" stroked="false">
            <v:path arrowok="t"/>
            <v:fill type="solid"/>
            <w10:wrap type="none"/>
          </v:shape>
        </w:pict>
      </w:r>
    </w:p>
    <w:sectPr>
      <w:type w:val="continuous"/>
      <w:pgSz w:w="12240" w:h="15840"/>
      <w:pgMar w:top="70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34" w:hanging="369"/>
      </w:pPr>
      <w:rPr>
        <w:rFonts w:hint="default"/>
        <w:lang w:val="zh-CN" w:eastAsia="zh-CN" w:bidi="zh-CN"/>
      </w:rPr>
    </w:lvl>
    <w:lvl w:ilvl="2">
      <w:start w:val="0"/>
      <w:numFmt w:val="bullet"/>
      <w:lvlText w:val="•"/>
      <w:lvlJc w:val="left"/>
      <w:pPr>
        <w:ind w:left="1228" w:hanging="369"/>
      </w:pPr>
      <w:rPr>
        <w:rFonts w:hint="default"/>
        <w:lang w:val="zh-CN" w:eastAsia="zh-CN" w:bidi="zh-CN"/>
      </w:rPr>
    </w:lvl>
    <w:lvl w:ilvl="3">
      <w:start w:val="0"/>
      <w:numFmt w:val="bullet"/>
      <w:lvlText w:val="•"/>
      <w:lvlJc w:val="left"/>
      <w:pPr>
        <w:ind w:left="1523" w:hanging="369"/>
      </w:pPr>
      <w:rPr>
        <w:rFonts w:hint="default"/>
        <w:lang w:val="zh-CN" w:eastAsia="zh-CN" w:bidi="zh-CN"/>
      </w:rPr>
    </w:lvl>
    <w:lvl w:ilvl="4">
      <w:start w:val="0"/>
      <w:numFmt w:val="bullet"/>
      <w:lvlText w:val="•"/>
      <w:lvlJc w:val="left"/>
      <w:pPr>
        <w:ind w:left="1817" w:hanging="369"/>
      </w:pPr>
      <w:rPr>
        <w:rFonts w:hint="default"/>
        <w:lang w:val="zh-CN" w:eastAsia="zh-CN" w:bidi="zh-CN"/>
      </w:rPr>
    </w:lvl>
    <w:lvl w:ilvl="5">
      <w:start w:val="0"/>
      <w:numFmt w:val="bullet"/>
      <w:lvlText w:val="•"/>
      <w:lvlJc w:val="left"/>
      <w:pPr>
        <w:ind w:left="2112" w:hanging="369"/>
      </w:pPr>
      <w:rPr>
        <w:rFonts w:hint="default"/>
        <w:lang w:val="zh-CN" w:eastAsia="zh-CN" w:bidi="zh-CN"/>
      </w:rPr>
    </w:lvl>
    <w:lvl w:ilvl="6">
      <w:start w:val="0"/>
      <w:numFmt w:val="bullet"/>
      <w:lvlText w:val="•"/>
      <w:lvlJc w:val="left"/>
      <w:pPr>
        <w:ind w:left="2406" w:hanging="369"/>
      </w:pPr>
      <w:rPr>
        <w:rFonts w:hint="default"/>
        <w:lang w:val="zh-CN" w:eastAsia="zh-CN" w:bidi="zh-CN"/>
      </w:rPr>
    </w:lvl>
    <w:lvl w:ilvl="7">
      <w:start w:val="0"/>
      <w:numFmt w:val="bullet"/>
      <w:lvlText w:val="•"/>
      <w:lvlJc w:val="left"/>
      <w:pPr>
        <w:ind w:left="2700" w:hanging="369"/>
      </w:pPr>
      <w:rPr>
        <w:rFonts w:hint="default"/>
        <w:lang w:val="zh-CN" w:eastAsia="zh-CN" w:bidi="zh-CN"/>
      </w:rPr>
    </w:lvl>
    <w:lvl w:ilvl="8">
      <w:start w:val="0"/>
      <w:numFmt w:val="bullet"/>
      <w:lvlText w:val="•"/>
      <w:lvlJc w:val="left"/>
      <w:pPr>
        <w:ind w:left="2995"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26.htm" TargetMode="External"/><Relationship Id="rId6" Type="http://schemas.openxmlformats.org/officeDocument/2006/relationships/hyperlink" Target="http://qldzj.com/htmljw/132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2020-04-22T08:58:04Z</dcterms:created>
  <dcterms:modified xsi:type="dcterms:W3CDTF">2020-04-22T08:58:04Z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