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4098"/>
        <w:gridCol w:w="3064"/>
      </w:tblGrid>
      <w:tr>
        <w:trPr>
          <w:trHeight w:val="476" w:hRule="atLeast"/>
        </w:trPr>
        <w:tc>
          <w:tcPr>
            <w:tcW w:w="3617" w:type="dxa"/>
            <w:tcBorders>
              <w:right w:val="nil"/>
            </w:tcBorders>
            <w:shd w:val="clear" w:color="auto" w:fill="FF9933"/>
          </w:tcPr>
          <w:p>
            <w:pPr>
              <w:pStyle w:val="TableParagraph"/>
              <w:spacing w:before="86"/>
              <w:rPr>
                <w:sz w:val="24"/>
              </w:rPr>
            </w:pPr>
            <w:r>
              <w:rPr>
                <w:color w:val="DDDDDD"/>
                <w:sz w:val="24"/>
              </w:rPr>
              <w:t>西土圣贤撰集·第1353部</w:t>
            </w:r>
          </w:p>
        </w:tc>
        <w:tc>
          <w:tcPr>
            <w:tcW w:w="4098" w:type="dxa"/>
            <w:tcBorders>
              <w:left w:val="nil"/>
              <w:right w:val="nil"/>
            </w:tcBorders>
            <w:shd w:val="clear" w:color="auto" w:fill="FF9933"/>
          </w:tcPr>
          <w:p>
            <w:pPr>
              <w:pStyle w:val="TableParagraph"/>
              <w:spacing w:before="86"/>
              <w:ind w:left="941"/>
              <w:rPr>
                <w:sz w:val="24"/>
              </w:rPr>
            </w:pPr>
            <w:r>
              <w:rPr>
                <w:color w:val="EDFFFF"/>
                <w:sz w:val="24"/>
              </w:rPr>
              <w:t>禅要诃欲经一卷</w:t>
            </w:r>
          </w:p>
        </w:tc>
        <w:tc>
          <w:tcPr>
            <w:tcW w:w="3064" w:type="dxa"/>
            <w:tcBorders>
              <w:left w:val="nil"/>
            </w:tcBorders>
            <w:shd w:val="clear" w:color="auto" w:fill="FF9933"/>
          </w:tcPr>
          <w:p>
            <w:pPr>
              <w:pStyle w:val="TableParagraph"/>
              <w:spacing w:before="86"/>
              <w:ind w:left="1784"/>
              <w:rPr>
                <w:sz w:val="24"/>
              </w:rPr>
            </w:pPr>
            <w:r>
              <w:rPr>
                <w:color w:val="DDDDDD"/>
                <w:sz w:val="24"/>
              </w:rPr>
              <w:t>失译师名</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spacing w:before="0"/>
              <w:ind w:left="543"/>
              <w:rPr>
                <w:sz w:val="24"/>
              </w:rPr>
            </w:pPr>
            <w:r>
              <w:rPr>
                <w:color w:val="FF3300"/>
                <w:sz w:val="24"/>
              </w:rPr>
              <w:t>禅要诃欲经</w:t>
            </w:r>
          </w:p>
        </w:tc>
        <w:tc>
          <w:tcPr>
            <w:tcW w:w="4098"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064" w:type="dxa"/>
            <w:tcBorders>
              <w:left w:val="nil"/>
            </w:tcBorders>
          </w:tcPr>
          <w:p>
            <w:pPr>
              <w:pStyle w:val="TableParagraph"/>
              <w:spacing w:line="213" w:lineRule="auto" w:before="113"/>
              <w:ind w:left="1492" w:right="358"/>
              <w:rPr>
                <w:sz w:val="24"/>
              </w:rPr>
            </w:pPr>
            <w:r>
              <w:rPr>
                <w:sz w:val="24"/>
              </w:rPr>
              <w:t>字体：</w:t>
            </w:r>
            <w:r>
              <w:rPr>
                <w:color w:val="FF3300"/>
                <w:sz w:val="24"/>
              </w:rPr>
              <w:t>大号中号 小号</w:t>
            </w:r>
          </w:p>
        </w:tc>
      </w:tr>
      <w:tr>
        <w:trPr>
          <w:trHeight w:val="712" w:hRule="atLeast"/>
        </w:trPr>
        <w:tc>
          <w:tcPr>
            <w:tcW w:w="10779" w:type="dxa"/>
            <w:gridSpan w:val="3"/>
            <w:tcBorders>
              <w:bottom w:val="nil"/>
            </w:tcBorders>
          </w:tcPr>
          <w:p>
            <w:pPr>
              <w:pStyle w:val="TableParagraph"/>
              <w:spacing w:before="5"/>
              <w:ind w:left="0"/>
              <w:rPr>
                <w:rFonts w:ascii="Times New Roman"/>
                <w:sz w:val="21"/>
              </w:rPr>
            </w:pPr>
          </w:p>
          <w:p>
            <w:pPr>
              <w:pStyle w:val="TableParagraph"/>
              <w:spacing w:before="0"/>
              <w:ind w:left="4769" w:right="4750"/>
              <w:jc w:val="center"/>
              <w:rPr>
                <w:sz w:val="24"/>
              </w:rPr>
            </w:pPr>
            <w:r>
              <w:rPr>
                <w:color w:val="FF3300"/>
                <w:sz w:val="24"/>
              </w:rPr>
              <w:t>禅要诃欲经</w:t>
            </w:r>
          </w:p>
        </w:tc>
      </w:tr>
      <w:tr>
        <w:trPr>
          <w:trHeight w:val="536" w:hRule="atLeast"/>
        </w:trPr>
        <w:tc>
          <w:tcPr>
            <w:tcW w:w="10779" w:type="dxa"/>
            <w:gridSpan w:val="3"/>
            <w:tcBorders>
              <w:top w:val="nil"/>
              <w:bottom w:val="nil"/>
            </w:tcBorders>
          </w:tcPr>
          <w:p>
            <w:pPr>
              <w:pStyle w:val="TableParagraph"/>
              <w:spacing w:before="142"/>
              <w:ind w:left="808"/>
              <w:rPr>
                <w:sz w:val="24"/>
              </w:rPr>
            </w:pPr>
            <w:r>
              <w:rPr>
                <w:sz w:val="24"/>
              </w:rPr>
              <w:t>行者求道欲修定时。尔时法师应随根相行四摄道。示教利喜广净信戒。净信戒已次除六欲。</w:t>
            </w:r>
          </w:p>
        </w:tc>
      </w:tr>
      <w:tr>
        <w:trPr>
          <w:trHeight w:val="464" w:hRule="atLeast"/>
        </w:trPr>
        <w:tc>
          <w:tcPr>
            <w:tcW w:w="10779" w:type="dxa"/>
            <w:gridSpan w:val="3"/>
            <w:tcBorders>
              <w:top w:val="nil"/>
              <w:bottom w:val="nil"/>
            </w:tcBorders>
          </w:tcPr>
          <w:p>
            <w:pPr>
              <w:pStyle w:val="TableParagraph"/>
              <w:rPr>
                <w:sz w:val="24"/>
              </w:rPr>
            </w:pPr>
            <w:r>
              <w:rPr>
                <w:sz w:val="24"/>
              </w:rPr>
              <w:t>所谓色欲。形容欲。威仪欲。言声欲。细滑欲。人相欲。着上五欲。令观可得不净之相。着人相</w:t>
            </w:r>
          </w:p>
        </w:tc>
      </w:tr>
      <w:tr>
        <w:trPr>
          <w:trHeight w:val="464" w:hRule="atLeast"/>
        </w:trPr>
        <w:tc>
          <w:tcPr>
            <w:tcW w:w="10779" w:type="dxa"/>
            <w:gridSpan w:val="3"/>
            <w:tcBorders>
              <w:top w:val="nil"/>
              <w:bottom w:val="nil"/>
            </w:tcBorders>
          </w:tcPr>
          <w:p>
            <w:pPr>
              <w:pStyle w:val="TableParagraph"/>
              <w:rPr>
                <w:sz w:val="24"/>
              </w:rPr>
            </w:pPr>
            <w:r>
              <w:rPr>
                <w:sz w:val="24"/>
              </w:rPr>
              <w:t>欲。令观骨人分分断相。观彼全尸能断二欲威仪欲言声欲。若观坏尸悉断六欲。可得不净有二种</w:t>
            </w:r>
          </w:p>
        </w:tc>
      </w:tr>
      <w:tr>
        <w:trPr>
          <w:trHeight w:val="464" w:hRule="atLeast"/>
        </w:trPr>
        <w:tc>
          <w:tcPr>
            <w:tcW w:w="10779" w:type="dxa"/>
            <w:gridSpan w:val="3"/>
            <w:tcBorders>
              <w:top w:val="nil"/>
              <w:bottom w:val="nil"/>
            </w:tcBorders>
          </w:tcPr>
          <w:p>
            <w:pPr>
              <w:pStyle w:val="TableParagraph"/>
              <w:rPr>
                <w:sz w:val="24"/>
              </w:rPr>
            </w:pPr>
            <w:r>
              <w:rPr>
                <w:sz w:val="24"/>
              </w:rPr>
              <w:t>观。一即死尸臭烂不净。我身不净亦复如是。如是观已心生厌患。取是相已至闲静处山泽冢间空</w:t>
            </w:r>
          </w:p>
        </w:tc>
      </w:tr>
      <w:tr>
        <w:trPr>
          <w:trHeight w:val="464" w:hRule="atLeast"/>
        </w:trPr>
        <w:tc>
          <w:tcPr>
            <w:tcW w:w="10779" w:type="dxa"/>
            <w:gridSpan w:val="3"/>
            <w:tcBorders>
              <w:top w:val="nil"/>
              <w:bottom w:val="nil"/>
            </w:tcBorders>
          </w:tcPr>
          <w:p>
            <w:pPr>
              <w:pStyle w:val="TableParagraph"/>
              <w:rPr>
                <w:sz w:val="24"/>
              </w:rPr>
            </w:pPr>
            <w:r>
              <w:rPr>
                <w:sz w:val="24"/>
              </w:rPr>
              <w:t>舍树下。自观不净处处可得。系心身中不令驰散。二者闻法忆想。分别自观身中三十六物。发毛</w:t>
            </w:r>
          </w:p>
        </w:tc>
      </w:tr>
      <w:tr>
        <w:trPr>
          <w:trHeight w:val="464" w:hRule="atLeast"/>
        </w:trPr>
        <w:tc>
          <w:tcPr>
            <w:tcW w:w="10779" w:type="dxa"/>
            <w:gridSpan w:val="3"/>
            <w:tcBorders>
              <w:top w:val="nil"/>
              <w:bottom w:val="nil"/>
            </w:tcBorders>
          </w:tcPr>
          <w:p>
            <w:pPr>
              <w:pStyle w:val="TableParagraph"/>
              <w:rPr>
                <w:sz w:val="24"/>
              </w:rPr>
            </w:pPr>
            <w:r>
              <w:rPr>
                <w:sz w:val="24"/>
              </w:rPr>
              <w:t>爪齿涕泪涎唾。汗垢肪[月*冊]皮膜肌肉。筋脉髓脑心肝脾肾。肺胃肠肚胞胆痰癊。生藏脓血屎</w:t>
            </w:r>
          </w:p>
        </w:tc>
      </w:tr>
      <w:tr>
        <w:trPr>
          <w:trHeight w:val="464" w:hRule="atLeast"/>
        </w:trPr>
        <w:tc>
          <w:tcPr>
            <w:tcW w:w="10779" w:type="dxa"/>
            <w:gridSpan w:val="3"/>
            <w:tcBorders>
              <w:top w:val="nil"/>
              <w:bottom w:val="nil"/>
            </w:tcBorders>
          </w:tcPr>
          <w:p>
            <w:pPr>
              <w:pStyle w:val="TableParagraph"/>
              <w:rPr>
                <w:sz w:val="24"/>
              </w:rPr>
            </w:pPr>
            <w:r>
              <w:rPr>
                <w:sz w:val="24"/>
              </w:rPr>
              <w:t>尿诸虫。臭秽不净聚以为身。往来五道炽然众苦。犹如浮尸随流东西。所至之处物皆可恶。又念</w:t>
            </w:r>
          </w:p>
        </w:tc>
      </w:tr>
      <w:tr>
        <w:trPr>
          <w:trHeight w:val="464" w:hRule="atLeast"/>
        </w:trPr>
        <w:tc>
          <w:tcPr>
            <w:tcW w:w="10779" w:type="dxa"/>
            <w:gridSpan w:val="3"/>
            <w:tcBorders>
              <w:top w:val="nil"/>
              <w:bottom w:val="nil"/>
            </w:tcBorders>
          </w:tcPr>
          <w:p>
            <w:pPr>
              <w:pStyle w:val="TableParagraph"/>
              <w:rPr>
                <w:sz w:val="24"/>
              </w:rPr>
            </w:pPr>
            <w:r>
              <w:rPr>
                <w:sz w:val="24"/>
              </w:rPr>
              <w:t>我身以骨为柱以肉为泥。筋缠血浇如疮如毒。皮毛九孔以为门户。肠胃胞膜以为库藏。妒慢恶心</w:t>
            </w:r>
          </w:p>
        </w:tc>
      </w:tr>
      <w:tr>
        <w:trPr>
          <w:trHeight w:val="464" w:hRule="atLeast"/>
        </w:trPr>
        <w:tc>
          <w:tcPr>
            <w:tcW w:w="10779" w:type="dxa"/>
            <w:gridSpan w:val="3"/>
            <w:tcBorders>
              <w:top w:val="nil"/>
              <w:bottom w:val="nil"/>
            </w:tcBorders>
          </w:tcPr>
          <w:p>
            <w:pPr>
              <w:pStyle w:val="TableParagraph"/>
              <w:rPr>
                <w:sz w:val="24"/>
              </w:rPr>
            </w:pPr>
            <w:r>
              <w:rPr>
                <w:sz w:val="24"/>
              </w:rPr>
              <w:t>谓以为身。贪求无厌犹如溪壑。是故行者除三欲想。受信施时如火毒想。救诸虫想。系死尸想。</w:t>
            </w:r>
          </w:p>
        </w:tc>
      </w:tr>
      <w:tr>
        <w:trPr>
          <w:trHeight w:val="464" w:hRule="atLeast"/>
        </w:trPr>
        <w:tc>
          <w:tcPr>
            <w:tcW w:w="10779" w:type="dxa"/>
            <w:gridSpan w:val="3"/>
            <w:tcBorders>
              <w:top w:val="nil"/>
              <w:bottom w:val="nil"/>
            </w:tcBorders>
          </w:tcPr>
          <w:p>
            <w:pPr>
              <w:pStyle w:val="TableParagraph"/>
              <w:rPr>
                <w:sz w:val="24"/>
              </w:rPr>
            </w:pPr>
            <w:r>
              <w:rPr>
                <w:sz w:val="24"/>
              </w:rPr>
              <w:t>涎沫齿垢污滋味想。我无空慧坏白净想。贪爱因缘成恶露想。如是思惟惭愧具足。能度生死为世</w:t>
            </w:r>
          </w:p>
        </w:tc>
      </w:tr>
      <w:tr>
        <w:trPr>
          <w:trHeight w:val="464" w:hRule="atLeast"/>
        </w:trPr>
        <w:tc>
          <w:tcPr>
            <w:tcW w:w="10779" w:type="dxa"/>
            <w:gridSpan w:val="3"/>
            <w:tcBorders>
              <w:top w:val="nil"/>
              <w:bottom w:val="nil"/>
            </w:tcBorders>
          </w:tcPr>
          <w:p>
            <w:pPr>
              <w:pStyle w:val="TableParagraph"/>
              <w:rPr>
                <w:sz w:val="24"/>
              </w:rPr>
            </w:pPr>
            <w:r>
              <w:rPr>
                <w:sz w:val="24"/>
              </w:rPr>
              <w:t>福田。若观骨人二足甲骨。指骨趺骨踝骨胫骨。膝骨髀骨胯骨腰骨。脊骨颈骨头骨颔骨。两手甲</w:t>
            </w:r>
          </w:p>
        </w:tc>
      </w:tr>
      <w:tr>
        <w:trPr>
          <w:trHeight w:val="464" w:hRule="atLeast"/>
        </w:trPr>
        <w:tc>
          <w:tcPr>
            <w:tcW w:w="10779" w:type="dxa"/>
            <w:gridSpan w:val="3"/>
            <w:tcBorders>
              <w:top w:val="nil"/>
              <w:bottom w:val="nil"/>
            </w:tcBorders>
          </w:tcPr>
          <w:p>
            <w:pPr>
              <w:pStyle w:val="TableParagraph"/>
              <w:rPr>
                <w:sz w:val="24"/>
              </w:rPr>
            </w:pPr>
            <w:r>
              <w:rPr>
                <w:sz w:val="24"/>
              </w:rPr>
              <w:t>骨指骨掌骨。腕骨臂骨肘骨膊骨。胸骨心骨齿骨肋骨。左右思惟皆如目见。所著外身亦如是观。</w:t>
            </w:r>
          </w:p>
        </w:tc>
      </w:tr>
      <w:tr>
        <w:trPr>
          <w:trHeight w:val="464" w:hRule="atLeast"/>
        </w:trPr>
        <w:tc>
          <w:tcPr>
            <w:tcW w:w="10779" w:type="dxa"/>
            <w:gridSpan w:val="3"/>
            <w:tcBorders>
              <w:top w:val="nil"/>
              <w:bottom w:val="nil"/>
            </w:tcBorders>
          </w:tcPr>
          <w:p>
            <w:pPr>
              <w:pStyle w:val="TableParagraph"/>
              <w:rPr>
                <w:sz w:val="24"/>
              </w:rPr>
            </w:pPr>
            <w:r>
              <w:rPr>
                <w:sz w:val="24"/>
              </w:rPr>
              <w:t>三百二十骨相拄在内。皮囊九孔恶漏于外。如是观身犹如死尸为鬼所起。行来语默常是死尸。即</w:t>
            </w:r>
          </w:p>
        </w:tc>
      </w:tr>
      <w:tr>
        <w:trPr>
          <w:trHeight w:val="464" w:hRule="atLeast"/>
        </w:trPr>
        <w:tc>
          <w:tcPr>
            <w:tcW w:w="10779" w:type="dxa"/>
            <w:gridSpan w:val="3"/>
            <w:tcBorders>
              <w:top w:val="nil"/>
              <w:bottom w:val="nil"/>
            </w:tcBorders>
          </w:tcPr>
          <w:p>
            <w:pPr>
              <w:pStyle w:val="TableParagraph"/>
              <w:rPr>
                <w:sz w:val="24"/>
              </w:rPr>
            </w:pPr>
            <w:r>
              <w:rPr>
                <w:sz w:val="24"/>
              </w:rPr>
              <w:t>于我身作死尸想。青瘀想膖胀想脓烂想破坏想血涂想食残想虫出想骨锁想分离想腐败想世界众生</w:t>
            </w:r>
          </w:p>
        </w:tc>
      </w:tr>
      <w:tr>
        <w:trPr>
          <w:trHeight w:val="464" w:hRule="atLeast"/>
        </w:trPr>
        <w:tc>
          <w:tcPr>
            <w:tcW w:w="10779" w:type="dxa"/>
            <w:gridSpan w:val="3"/>
            <w:tcBorders>
              <w:top w:val="nil"/>
              <w:bottom w:val="nil"/>
            </w:tcBorders>
          </w:tcPr>
          <w:p>
            <w:pPr>
              <w:pStyle w:val="TableParagraph"/>
              <w:rPr>
                <w:sz w:val="24"/>
              </w:rPr>
            </w:pPr>
            <w:r>
              <w:rPr>
                <w:sz w:val="24"/>
              </w:rPr>
              <w:t>无可乐想。若心恐怖。应作因缘虚妄空观。犹如幻化无所有观。第一义空清净智观。若心懈怠。</w:t>
            </w:r>
          </w:p>
        </w:tc>
      </w:tr>
      <w:tr>
        <w:trPr>
          <w:trHeight w:val="464" w:hRule="atLeast"/>
        </w:trPr>
        <w:tc>
          <w:tcPr>
            <w:tcW w:w="10779" w:type="dxa"/>
            <w:gridSpan w:val="3"/>
            <w:tcBorders>
              <w:top w:val="nil"/>
              <w:bottom w:val="nil"/>
            </w:tcBorders>
          </w:tcPr>
          <w:p>
            <w:pPr>
              <w:pStyle w:val="TableParagraph"/>
              <w:rPr>
                <w:sz w:val="24"/>
              </w:rPr>
            </w:pPr>
            <w:r>
              <w:rPr>
                <w:sz w:val="24"/>
              </w:rPr>
              <w:t>当自责言。老病死苦甚为至近。命如电逝须臾难保。人身难得善师难遇佛法欲灭正言似反。如晓</w:t>
            </w:r>
          </w:p>
        </w:tc>
      </w:tr>
      <w:tr>
        <w:trPr>
          <w:trHeight w:val="464" w:hRule="atLeast"/>
        </w:trPr>
        <w:tc>
          <w:tcPr>
            <w:tcW w:w="10779" w:type="dxa"/>
            <w:gridSpan w:val="3"/>
            <w:tcBorders>
              <w:top w:val="nil"/>
              <w:bottom w:val="nil"/>
            </w:tcBorders>
          </w:tcPr>
          <w:p>
            <w:pPr>
              <w:pStyle w:val="TableParagraph"/>
              <w:rPr>
                <w:sz w:val="24"/>
              </w:rPr>
            </w:pPr>
            <w:r>
              <w:rPr>
                <w:sz w:val="24"/>
              </w:rPr>
              <w:t>时灯虽有无用。恶人出家助俗毁法。贪淫邪浊令道衰酢。恶法增长大闇将至。破定因缘众患甚</w:t>
            </w:r>
          </w:p>
        </w:tc>
      </w:tr>
      <w:tr>
        <w:trPr>
          <w:trHeight w:val="464" w:hRule="atLeast"/>
        </w:trPr>
        <w:tc>
          <w:tcPr>
            <w:tcW w:w="10779" w:type="dxa"/>
            <w:gridSpan w:val="3"/>
            <w:tcBorders>
              <w:top w:val="nil"/>
              <w:bottom w:val="nil"/>
            </w:tcBorders>
          </w:tcPr>
          <w:p>
            <w:pPr>
              <w:pStyle w:val="TableParagraph"/>
              <w:rPr>
                <w:sz w:val="24"/>
              </w:rPr>
            </w:pPr>
            <w:r>
              <w:rPr>
                <w:sz w:val="24"/>
              </w:rPr>
              <w:t>多。内诸烦恼外魔魔民。鬼疫行灾世间空荒。恶对扬谤诸恼万端。八苦轮回昼夜无舍。我身可哀</w:t>
            </w:r>
          </w:p>
        </w:tc>
      </w:tr>
      <w:tr>
        <w:trPr>
          <w:trHeight w:val="464" w:hRule="atLeast"/>
        </w:trPr>
        <w:tc>
          <w:tcPr>
            <w:tcW w:w="10779" w:type="dxa"/>
            <w:gridSpan w:val="3"/>
            <w:tcBorders>
              <w:top w:val="nil"/>
              <w:bottom w:val="nil"/>
            </w:tcBorders>
          </w:tcPr>
          <w:p>
            <w:pPr>
              <w:pStyle w:val="TableParagraph"/>
              <w:rPr>
                <w:sz w:val="24"/>
              </w:rPr>
            </w:pPr>
            <w:r>
              <w:rPr>
                <w:sz w:val="24"/>
              </w:rPr>
              <w:t>属当斯祸。于烦恼贼未有微损。于禅定法未有所得。虽服法衣犹思欲味。内实虚空俗人无异。诸</w:t>
            </w:r>
          </w:p>
        </w:tc>
      </w:tr>
      <w:tr>
        <w:trPr>
          <w:trHeight w:val="464" w:hRule="atLeast"/>
        </w:trPr>
        <w:tc>
          <w:tcPr>
            <w:tcW w:w="10779" w:type="dxa"/>
            <w:gridSpan w:val="3"/>
            <w:tcBorders>
              <w:top w:val="nil"/>
              <w:bottom w:val="nil"/>
            </w:tcBorders>
          </w:tcPr>
          <w:p>
            <w:pPr>
              <w:pStyle w:val="TableParagraph"/>
              <w:rPr>
                <w:sz w:val="24"/>
              </w:rPr>
            </w:pPr>
            <w:r>
              <w:rPr>
                <w:sz w:val="24"/>
              </w:rPr>
              <w:t>恶趣门一切皆开。诸善法中未入正定。于诸恶法未毕不作。我今云何着是屎囊而生憍恣。不能精</w:t>
            </w:r>
          </w:p>
        </w:tc>
      </w:tr>
      <w:tr>
        <w:trPr>
          <w:trHeight w:val="464" w:hRule="atLeast"/>
        </w:trPr>
        <w:tc>
          <w:tcPr>
            <w:tcW w:w="10779" w:type="dxa"/>
            <w:gridSpan w:val="3"/>
            <w:tcBorders>
              <w:top w:val="nil"/>
              <w:bottom w:val="nil"/>
            </w:tcBorders>
          </w:tcPr>
          <w:p>
            <w:pPr>
              <w:pStyle w:val="TableParagraph"/>
              <w:rPr>
                <w:sz w:val="24"/>
              </w:rPr>
            </w:pPr>
            <w:r>
              <w:rPr>
                <w:sz w:val="24"/>
              </w:rPr>
              <w:t>勤制伏其心。如此弊身贤圣所呵。不净可恶九孔流出。若贪此身与畜生同。死投大黑闇当复何</w:t>
            </w:r>
          </w:p>
        </w:tc>
      </w:tr>
      <w:tr>
        <w:trPr>
          <w:trHeight w:val="464" w:hRule="atLeast"/>
        </w:trPr>
        <w:tc>
          <w:tcPr>
            <w:tcW w:w="10779" w:type="dxa"/>
            <w:gridSpan w:val="3"/>
            <w:tcBorders>
              <w:top w:val="nil"/>
              <w:bottom w:val="nil"/>
            </w:tcBorders>
          </w:tcPr>
          <w:p>
            <w:pPr>
              <w:pStyle w:val="TableParagraph"/>
              <w:rPr>
                <w:sz w:val="24"/>
              </w:rPr>
            </w:pPr>
            <w:r>
              <w:rPr>
                <w:sz w:val="24"/>
              </w:rPr>
              <w:t>依。今得人身不能出要。若生恶趣解脱何由。如是鞭心还摄本处。又时劝发令心喜悦。解脱法王</w:t>
            </w:r>
          </w:p>
        </w:tc>
      </w:tr>
      <w:tr>
        <w:trPr>
          <w:trHeight w:val="464" w:hRule="atLeast"/>
        </w:trPr>
        <w:tc>
          <w:tcPr>
            <w:tcW w:w="10779" w:type="dxa"/>
            <w:gridSpan w:val="3"/>
            <w:tcBorders>
              <w:top w:val="nil"/>
              <w:bottom w:val="nil"/>
            </w:tcBorders>
          </w:tcPr>
          <w:p>
            <w:pPr>
              <w:pStyle w:val="TableParagraph"/>
              <w:rPr>
                <w:sz w:val="24"/>
              </w:rPr>
            </w:pPr>
            <w:r>
              <w:rPr>
                <w:sz w:val="24"/>
              </w:rPr>
              <w:t>慧命常住。神通光明恒照五道。直说道教易解易行。既是我师我得归命。香华赞叹心安喜悦。如</w:t>
            </w:r>
          </w:p>
        </w:tc>
      </w:tr>
      <w:tr>
        <w:trPr>
          <w:trHeight w:val="464" w:hRule="atLeast"/>
        </w:trPr>
        <w:tc>
          <w:tcPr>
            <w:tcW w:w="10779" w:type="dxa"/>
            <w:gridSpan w:val="3"/>
            <w:tcBorders>
              <w:top w:val="nil"/>
              <w:bottom w:val="nil"/>
            </w:tcBorders>
          </w:tcPr>
          <w:p>
            <w:pPr>
              <w:pStyle w:val="TableParagraph"/>
              <w:rPr>
                <w:sz w:val="24"/>
              </w:rPr>
            </w:pPr>
            <w:r>
              <w:rPr>
                <w:sz w:val="24"/>
              </w:rPr>
              <w:t>依天帝游空无畏。诸大菩萨阿罗汉等皆我同伴。以能伏心如猫制鼠。诸根调顺六通自在。我亦如</w:t>
            </w:r>
          </w:p>
        </w:tc>
      </w:tr>
      <w:tr>
        <w:trPr>
          <w:trHeight w:val="464" w:hRule="atLeast"/>
        </w:trPr>
        <w:tc>
          <w:tcPr>
            <w:tcW w:w="10779" w:type="dxa"/>
            <w:gridSpan w:val="3"/>
            <w:tcBorders>
              <w:top w:val="nil"/>
              <w:bottom w:val="nil"/>
            </w:tcBorders>
          </w:tcPr>
          <w:p>
            <w:pPr>
              <w:pStyle w:val="TableParagraph"/>
              <w:rPr>
                <w:sz w:val="24"/>
              </w:rPr>
            </w:pPr>
            <w:r>
              <w:rPr>
                <w:sz w:val="24"/>
              </w:rPr>
              <w:t>是应自伏心求出生死。如囚在狱四顾牢密。唯有厕孔更无异路。如人中毒唯粪能治更无余药。思</w:t>
            </w:r>
          </w:p>
        </w:tc>
      </w:tr>
      <w:tr>
        <w:trPr>
          <w:trHeight w:val="494" w:hRule="atLeast"/>
        </w:trPr>
        <w:tc>
          <w:tcPr>
            <w:tcW w:w="10779" w:type="dxa"/>
            <w:gridSpan w:val="3"/>
            <w:tcBorders>
              <w:top w:val="nil"/>
              <w:bottom w:val="nil"/>
            </w:tcBorders>
          </w:tcPr>
          <w:p>
            <w:pPr>
              <w:pStyle w:val="TableParagraph"/>
              <w:rPr>
                <w:sz w:val="24"/>
              </w:rPr>
            </w:pPr>
            <w:r>
              <w:rPr>
                <w:sz w:val="24"/>
              </w:rPr>
              <w:t>惟是已谛观不净。复作是念。初习行时心多进退。八法恶风吹破我心。我若得道心安若山。上妙</w:t>
            </w:r>
          </w:p>
        </w:tc>
      </w:tr>
    </w:tbl>
    <w:p>
      <w:pPr>
        <w:spacing w:after="0"/>
        <w:rPr>
          <w:sz w:val="24"/>
        </w:rPr>
        <w:sectPr>
          <w:type w:val="continuous"/>
          <w:pgSz w:w="12240" w:h="15840"/>
          <w:pgMar w:top="700" w:bottom="280" w:left="580" w:right="640"/>
        </w:sectPr>
      </w:pPr>
    </w:p>
    <w:p>
      <w:pPr>
        <w:pStyle w:val="BodyText"/>
        <w:spacing w:before="80"/>
        <w:ind w:left="449"/>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五欲尚不能坏。何况弊欲。如大目连得罗汉已妇将伎人盛自庄饰欲坏目连。目连尔时为说偈言。</w:t>
      </w:r>
    </w:p>
    <w:p>
      <w:pPr>
        <w:pStyle w:val="BodyText"/>
        <w:spacing w:before="10"/>
      </w:pPr>
    </w:p>
    <w:p>
      <w:pPr>
        <w:pStyle w:val="BodyText"/>
        <w:spacing w:line="362" w:lineRule="auto"/>
        <w:ind w:left="930" w:right="7204"/>
        <w:jc w:val="both"/>
      </w:pPr>
      <w:r>
        <w:rPr/>
        <w:t>汝身骨干立   皮肉相缠裹不净内充满   无一是妙物皮囊盛屎尿   九孔常流血如鬼无所直   何足以自贵汝身如行厕   薄皮以自覆智者所弃远   如人舍厕去若人知汝身   如我所恶厌一切皆远离   知人避屎坑汝身自严饰   香花以璎珞凡愚所贪爱   智者所不惑汝是不净聚   集诸秽恶物虽服珍妙衣   如庄严厕舍汝胁肋着脊   如椽依梁栋五藏在复内   不净如屎箧我观汝不净   犹如五色粪饰以珠璎珞   外好如画瓶若人欲染空   终始不可着汝欲来娆我   如蛾自投火一切诸欲毒   我今已灭尽五欲已远离   魔网已坏裂我心如虚空   一切无所著正使天欲来   不能染我心堕俗生世苦   命速犹电光老病死时至   对来无豪强无亲可恃怙   无处可隐藏天福尚有尽   人命岂久长最脆不过命   如风吹浮云浮云坏甚速   形命不久连身死魂灵散   当知非我身勉时力精进 难得不过人</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group style="position:absolute;margin-left:34.6063pt;margin-top:29.000053pt;width:539.85pt;height:578.35pt;mso-position-horizontal-relative:page;mso-position-vertical-relative:page;z-index:-15862272" coordorigin="692,580" coordsize="10797,11567">
            <v:shape style="position:absolute;left:692;top:580;width:10797;height:11102" coordorigin="692,580" coordsize="10797,11102" path="m708,580l692,580,692,11682,708,11682,708,580xm11488,580l11472,580,11472,11682,11488,11682,11488,580xe" filled="true" fillcolor="#000000" stroked="false">
              <v:path arrowok="t"/>
              <v:fill type="solid"/>
            </v:shape>
            <v:rect style="position:absolute;left:692;top:11681;width:10797;height:465" filled="true" fillcolor="#ff9933" stroked="false">
              <v:fill type="solid"/>
            </v:rect>
            <v:rect style="position:absolute;left:700;top:11689;width:10781;height:449" filled="false" stroked="true" strokeweight=".80090pt" strokecolor="#000000">
              <v:stroke dashstyle="solid"/>
            </v:rect>
            <v:shape style="position:absolute;left:1252;top:10496;width:65;height:481" coordorigin="1253,10496" coordsize="65,481" path="m1317,10945l1315,10931,1309,10921,1299,10915,1285,10913,1271,10915,1261,10921,1255,10931,1253,10945,1255,10959,1261,10969,1271,10975,1285,10977,1299,10975,1309,10969,1315,10959,1317,10945xm1317,10528l1315,10514,1309,10504,1299,10498,1285,10496,1271,10498,1261,10504,1255,10514,1253,10528,1255,10542,1261,10552,1271,10558,1285,10560,1299,10558,1309,10552,1315,10542,1317,10528xe" filled="true" fillcolor="#000000" stroked="false">
              <v:path arrowok="t"/>
              <v:fill type="solid"/>
            </v:shape>
            <w10:wrap type="none"/>
          </v:group>
        </w:pict>
      </w:r>
      <w:r>
        <w:rPr/>
        <w:t>生死不断绝   贪欲嗜味故养怒益丘冢   唐受诸辛苦身臭如死尸   九孔流不净如厕虫乐粪   愚贪身无异虽明在宫中   五欲色味间志意不甘乐   常思幽隐禅昼夜观窗牖   有天叉手言时至今可行   众伎皆睡眠世间不足乐   恒与忧恼俱恩爱正合会   当复之别离家室转相哭   不知死所趣慧人见苦谛   是故行学道世间欢日少   忧恼甚太多安由得此苦   自作不由他俗人乐恩爱   道以为怨家富贵是苦本   如鸟堕网罗人命甚速驶   五马不能追残命日灭尽   各各自思惟恩爱正合会   夫盛当有衰是故自拔出 得道当来归</w:t>
      </w:r>
    </w:p>
    <w:p>
      <w:pPr>
        <w:pStyle w:val="BodyText"/>
        <w:spacing w:before="6"/>
        <w:rPr>
          <w:sz w:val="26"/>
        </w:rPr>
      </w:pPr>
    </w:p>
    <w:p>
      <w:pPr>
        <w:pStyle w:val="BodyText"/>
        <w:spacing w:line="324" w:lineRule="auto" w:before="67"/>
        <w:ind w:left="873" w:right="4137"/>
      </w:pPr>
      <w:hyperlink r:id="rId5">
        <w:r>
          <w:rPr>
            <w:color w:val="878787"/>
          </w:rPr>
          <w:t>上一部：乾隆大藏经·西土圣贤撰集·旧杂譬喻经二卷</w:t>
        </w:r>
      </w:hyperlink>
      <w:hyperlink r:id="rId6">
        <w:r>
          <w:rPr>
            <w:color w:val="878787"/>
          </w:rPr>
          <w:t> 下一部：乾隆大藏经·西土圣贤撰集·内身观章句经一卷</w:t>
        </w:r>
      </w:hyperlink>
    </w:p>
    <w:p>
      <w:pPr>
        <w:pStyle w:val="BodyText"/>
      </w:pPr>
    </w:p>
    <w:p>
      <w:pPr>
        <w:pStyle w:val="BodyText"/>
        <w:spacing w:before="2"/>
        <w:rPr>
          <w:sz w:val="21"/>
        </w:rPr>
      </w:pPr>
    </w:p>
    <w:p>
      <w:pPr>
        <w:pStyle w:val="BodyText"/>
        <w:ind w:left="3331" w:right="3328"/>
        <w:jc w:val="center"/>
      </w:pPr>
      <w:r>
        <w:rPr>
          <w:color w:val="DDDDDD"/>
        </w:rPr>
        <w:t>乾隆大藏经·西土圣贤撰集·禅要诃欲经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85" w:hanging="369"/>
      </w:pPr>
      <w:rPr>
        <w:rFonts w:hint="default"/>
        <w:lang w:val="en-US" w:eastAsia="zh-CN" w:bidi="ar-SA"/>
      </w:rPr>
    </w:lvl>
    <w:lvl w:ilvl="2">
      <w:start w:val="0"/>
      <w:numFmt w:val="bullet"/>
      <w:lvlText w:val="•"/>
      <w:lvlJc w:val="left"/>
      <w:pPr>
        <w:ind w:left="1331" w:hanging="369"/>
      </w:pPr>
      <w:rPr>
        <w:rFonts w:hint="default"/>
        <w:lang w:val="en-US" w:eastAsia="zh-CN" w:bidi="ar-SA"/>
      </w:rPr>
    </w:lvl>
    <w:lvl w:ilvl="3">
      <w:start w:val="0"/>
      <w:numFmt w:val="bullet"/>
      <w:lvlText w:val="•"/>
      <w:lvlJc w:val="left"/>
      <w:pPr>
        <w:ind w:left="1677" w:hanging="369"/>
      </w:pPr>
      <w:rPr>
        <w:rFonts w:hint="default"/>
        <w:lang w:val="en-US" w:eastAsia="zh-CN" w:bidi="ar-SA"/>
      </w:rPr>
    </w:lvl>
    <w:lvl w:ilvl="4">
      <w:start w:val="0"/>
      <w:numFmt w:val="bullet"/>
      <w:lvlText w:val="•"/>
      <w:lvlJc w:val="left"/>
      <w:pPr>
        <w:ind w:left="2023" w:hanging="369"/>
      </w:pPr>
      <w:rPr>
        <w:rFonts w:hint="default"/>
        <w:lang w:val="en-US" w:eastAsia="zh-CN" w:bidi="ar-SA"/>
      </w:rPr>
    </w:lvl>
    <w:lvl w:ilvl="5">
      <w:start w:val="0"/>
      <w:numFmt w:val="bullet"/>
      <w:lvlText w:val="•"/>
      <w:lvlJc w:val="left"/>
      <w:pPr>
        <w:ind w:left="2369" w:hanging="369"/>
      </w:pPr>
      <w:rPr>
        <w:rFonts w:hint="default"/>
        <w:lang w:val="en-US" w:eastAsia="zh-CN" w:bidi="ar-SA"/>
      </w:rPr>
    </w:lvl>
    <w:lvl w:ilvl="6">
      <w:start w:val="0"/>
      <w:numFmt w:val="bullet"/>
      <w:lvlText w:val="•"/>
      <w:lvlJc w:val="left"/>
      <w:pPr>
        <w:ind w:left="2714" w:hanging="369"/>
      </w:pPr>
      <w:rPr>
        <w:rFonts w:hint="default"/>
        <w:lang w:val="en-US" w:eastAsia="zh-CN" w:bidi="ar-SA"/>
      </w:rPr>
    </w:lvl>
    <w:lvl w:ilvl="7">
      <w:start w:val="0"/>
      <w:numFmt w:val="bullet"/>
      <w:lvlText w:val="•"/>
      <w:lvlJc w:val="left"/>
      <w:pPr>
        <w:ind w:left="3060" w:hanging="369"/>
      </w:pPr>
      <w:rPr>
        <w:rFonts w:hint="default"/>
        <w:lang w:val="en-US" w:eastAsia="zh-CN" w:bidi="ar-SA"/>
      </w:rPr>
    </w:lvl>
    <w:lvl w:ilvl="8">
      <w:start w:val="0"/>
      <w:numFmt w:val="bullet"/>
      <w:lvlText w:val="•"/>
      <w:lvlJc w:val="left"/>
      <w:pPr>
        <w:ind w:left="3406"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8" w:hanging="369"/>
      </w:pPr>
      <w:rPr>
        <w:rFonts w:hint="default"/>
        <w:lang w:val="en-US" w:eastAsia="zh-CN" w:bidi="ar-SA"/>
      </w:rPr>
    </w:lvl>
    <w:lvl w:ilvl="2">
      <w:start w:val="0"/>
      <w:numFmt w:val="bullet"/>
      <w:lvlText w:val="•"/>
      <w:lvlJc w:val="left"/>
      <w:pPr>
        <w:ind w:left="1457" w:hanging="369"/>
      </w:pPr>
      <w:rPr>
        <w:rFonts w:hint="default"/>
        <w:lang w:val="en-US" w:eastAsia="zh-CN" w:bidi="ar-SA"/>
      </w:rPr>
    </w:lvl>
    <w:lvl w:ilvl="3">
      <w:start w:val="0"/>
      <w:numFmt w:val="bullet"/>
      <w:lvlText w:val="•"/>
      <w:lvlJc w:val="left"/>
      <w:pPr>
        <w:ind w:left="1726" w:hanging="369"/>
      </w:pPr>
      <w:rPr>
        <w:rFonts w:hint="default"/>
        <w:lang w:val="en-US" w:eastAsia="zh-CN" w:bidi="ar-SA"/>
      </w:rPr>
    </w:lvl>
    <w:lvl w:ilvl="4">
      <w:start w:val="0"/>
      <w:numFmt w:val="bullet"/>
      <w:lvlText w:val="•"/>
      <w:lvlJc w:val="left"/>
      <w:pPr>
        <w:ind w:left="1994" w:hanging="369"/>
      </w:pPr>
      <w:rPr>
        <w:rFonts w:hint="default"/>
        <w:lang w:val="en-US" w:eastAsia="zh-CN" w:bidi="ar-SA"/>
      </w:rPr>
    </w:lvl>
    <w:lvl w:ilvl="5">
      <w:start w:val="0"/>
      <w:numFmt w:val="bullet"/>
      <w:lvlText w:val="•"/>
      <w:lvlJc w:val="left"/>
      <w:pPr>
        <w:ind w:left="2263" w:hanging="369"/>
      </w:pPr>
      <w:rPr>
        <w:rFonts w:hint="default"/>
        <w:lang w:val="en-US" w:eastAsia="zh-CN" w:bidi="ar-SA"/>
      </w:rPr>
    </w:lvl>
    <w:lvl w:ilvl="6">
      <w:start w:val="0"/>
      <w:numFmt w:val="bullet"/>
      <w:lvlText w:val="•"/>
      <w:lvlJc w:val="left"/>
      <w:pPr>
        <w:ind w:left="2532" w:hanging="369"/>
      </w:pPr>
      <w:rPr>
        <w:rFonts w:hint="default"/>
        <w:lang w:val="en-US" w:eastAsia="zh-CN" w:bidi="ar-SA"/>
      </w:rPr>
    </w:lvl>
    <w:lvl w:ilvl="7">
      <w:start w:val="0"/>
      <w:numFmt w:val="bullet"/>
      <w:lvlText w:val="•"/>
      <w:lvlJc w:val="left"/>
      <w:pPr>
        <w:ind w:left="2800" w:hanging="369"/>
      </w:pPr>
      <w:rPr>
        <w:rFonts w:hint="default"/>
        <w:lang w:val="en-US" w:eastAsia="zh-CN" w:bidi="ar-SA"/>
      </w:rPr>
    </w:lvl>
    <w:lvl w:ilvl="8">
      <w:start w:val="0"/>
      <w:numFmt w:val="bullet"/>
      <w:lvlText w:val="•"/>
      <w:lvlJc w:val="left"/>
      <w:pPr>
        <w:ind w:left="3069"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52.htm" TargetMode="External"/><Relationship Id="rId6" Type="http://schemas.openxmlformats.org/officeDocument/2006/relationships/hyperlink" Target="http://qldzj.com/htmljw/135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2020-04-22T09:57:07Z</dcterms:created>
  <dcterms:modified xsi:type="dcterms:W3CDTF">2020-04-22T09:57:07Z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