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32"/>
        <w:gridCol w:w="1359"/>
        <w:gridCol w:w="3987"/>
        <w:gridCol w:w="3005"/>
      </w:tblGrid>
      <w:tr>
        <w:trPr>
          <w:trHeight w:val="476" w:hRule="atLeast"/>
        </w:trPr>
        <w:tc>
          <w:tcPr>
            <w:tcW w:w="3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西土圣贤撰集·第1354部</w:t>
            </w:r>
          </w:p>
        </w:tc>
        <w:tc>
          <w:tcPr>
            <w:tcW w:w="39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629" w:right="1397"/>
              <w:jc w:val="center"/>
              <w:rPr>
                <w:sz w:val="24"/>
              </w:rPr>
            </w:pPr>
            <w:r>
              <w:rPr>
                <w:color w:val="EDFFFF"/>
                <w:sz w:val="24"/>
              </w:rPr>
              <w:t>内身观章句经一卷</w:t>
            </w:r>
          </w:p>
        </w:tc>
        <w:tc>
          <w:tcPr>
            <w:tcW w:w="30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1481"/>
              <w:rPr>
                <w:sz w:val="24"/>
              </w:rPr>
            </w:pPr>
            <w:r>
              <w:rPr>
                <w:color w:val="DDDDDD"/>
                <w:sz w:val="24"/>
              </w:rPr>
              <w:t>汉失译师名</w:t>
            </w:r>
          </w:p>
        </w:tc>
      </w:tr>
      <w:tr>
        <w:trPr>
          <w:trHeight w:val="1149" w:hRule="atLeast"/>
        </w:trPr>
        <w:tc>
          <w:tcPr>
            <w:tcW w:w="2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卷数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内身观章句经</w:t>
            </w:r>
          </w:p>
        </w:tc>
        <w:tc>
          <w:tcPr>
            <w:tcW w:w="135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444" w:val="left" w:leader="none"/>
              </w:tabs>
              <w:spacing w:line="240" w:lineRule="auto" w:before="86" w:after="0"/>
              <w:ind w:left="443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跋序</w:t>
            </w:r>
          </w:p>
        </w:tc>
        <w:tc>
          <w:tcPr>
            <w:tcW w:w="39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472" w:val="left" w:leader="none"/>
              </w:tabs>
              <w:spacing w:line="290" w:lineRule="exact" w:before="86" w:after="0"/>
              <w:ind w:left="471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72" w:val="left" w:leader="none"/>
              </w:tabs>
              <w:spacing w:line="290" w:lineRule="exact" w:before="0" w:after="0"/>
              <w:ind w:left="471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  <w:p>
            <w:pPr>
              <w:pStyle w:val="TableParagraph"/>
              <w:spacing w:before="77"/>
              <w:ind w:left="103"/>
              <w:rPr>
                <w:sz w:val="24"/>
              </w:rPr>
            </w:pPr>
            <w:r>
              <w:rPr>
                <w:color w:val="993300"/>
                <w:sz w:val="24"/>
              </w:rPr>
              <w:t>十一因缘章</w:t>
            </w:r>
          </w:p>
        </w:tc>
        <w:tc>
          <w:tcPr>
            <w:tcW w:w="30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13" w:lineRule="auto" w:before="113"/>
              <w:ind w:left="1429" w:right="362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2432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9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987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629" w:right="1397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内身观章句经</w:t>
            </w:r>
          </w:p>
        </w:tc>
        <w:tc>
          <w:tcPr>
            <w:tcW w:w="3005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536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142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一切一其心</w:t>
            </w:r>
          </w:p>
        </w:tc>
        <w:tc>
          <w:tcPr>
            <w:tcW w:w="1359" w:type="dxa"/>
          </w:tcPr>
          <w:p>
            <w:pPr>
              <w:pStyle w:val="TableParagraph"/>
              <w:spacing w:before="142"/>
              <w:ind w:left="68"/>
              <w:rPr>
                <w:sz w:val="24"/>
              </w:rPr>
            </w:pPr>
            <w:r>
              <w:rPr>
                <w:sz w:val="24"/>
              </w:rPr>
              <w:t>皆听美言训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佛所从得道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且听我彼经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彼空亦不断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有行皆非常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夫行不败坏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佛以讲授经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深微难见事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非章原之句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通彼能敷演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是以故为师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从本以存本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有造法之积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从慧以除弃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上士所讲说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所从因缘有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有行皆无有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亦有前世除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无知彼诸行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亦如欲演身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日亲之所讲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大灾患无数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皆以归流身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删定如本文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所演众要言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靡丽五字句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明誓以劝勉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以颂文具足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偶字音商备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若花实杂糅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皆听彼我诲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身非人非命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不丈夫非士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若体若不艳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斯事都无彼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夫身造而有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以有即败亡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无强皆归命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如沫蹈践碎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无强则无常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无常即无乐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无常亦为苦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非身身非我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身非常亦苦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非彼应为身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若体艳我有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身都无可有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6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若以都无体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有存亦有亡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94" w:hRule="atLeast"/>
        </w:trPr>
        <w:tc>
          <w:tcPr>
            <w:tcW w:w="2432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70"/>
              <w:ind w:right="410"/>
              <w:jc w:val="right"/>
              <w:rPr>
                <w:sz w:val="24"/>
              </w:rPr>
            </w:pPr>
            <w:r>
              <w:rPr>
                <w:sz w:val="24"/>
              </w:rPr>
              <w:t>慧者以本末</w:t>
            </w:r>
          </w:p>
        </w:tc>
        <w:tc>
          <w:tcPr>
            <w:tcW w:w="1359" w:type="dxa"/>
          </w:tcPr>
          <w:p>
            <w:pPr>
              <w:pStyle w:val="TableParagraph"/>
              <w:spacing w:before="70"/>
              <w:ind w:left="68"/>
              <w:rPr>
                <w:sz w:val="24"/>
              </w:rPr>
            </w:pPr>
            <w:r>
              <w:rPr>
                <w:sz w:val="24"/>
              </w:rPr>
              <w:t>何彼已有体</w:t>
            </w:r>
          </w:p>
        </w:tc>
        <w:tc>
          <w:tcPr>
            <w:tcW w:w="398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05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若以无主者   不得以自由有校计若此   何彼体我有斯体身为空   体我有为虚应因缘为有   非身逝心造非众人身造   亦非自身造都无身有造   亦身无不造以身无造者   从彼为得谛亦非都骨节</w:t>
      </w:r>
    </w:p>
    <w:p>
      <w:pPr>
        <w:pStyle w:val="BodyText"/>
        <w:spacing w:line="362" w:lineRule="auto" w:before="2"/>
        <w:jc w:val="both"/>
      </w:pPr>
      <w:r>
        <w:rPr>
          <w:spacing w:val="-2"/>
        </w:rPr>
        <w:t>从前世方来   亦非天造身非神所化城   非无行无本无因为自有   是身有所由有事亦有物   有本有所起稍稍为生有   本以痴亦爱心与爱有漏   亦有缚亦结行二品为漏   斯为本亦余世与受因缘   以由彼斯身以渐能致有   初始有精沫精沫为转凝   足为生两两以两为转厚   以序有四体为生头第五   若干骨积聚</w:t>
      </w:r>
      <w:r>
        <w:rPr>
          <w:spacing w:val="-1"/>
        </w:rPr>
        <w:t>从行为用成    头九为髑髅</w:t>
      </w:r>
    </w:p>
    <w:p>
      <w:pPr>
        <w:pStyle w:val="BodyText"/>
        <w:spacing w:line="362" w:lineRule="auto" w:before="2"/>
        <w:ind w:right="6579"/>
        <w:jc w:val="both"/>
      </w:pPr>
      <w:r>
        <w:rPr>
          <w:spacing w:val="2"/>
        </w:rPr>
        <w:t>頞[出</w:t>
      </w:r>
      <w:r>
        <w:rPr>
          <w:spacing w:val="8"/>
        </w:rPr>
        <w:t>*</w:t>
      </w:r>
      <w:r>
        <w:rPr>
          <w:spacing w:val="-1"/>
        </w:rPr>
        <w:t>頁]为二骨   齿根三十二</w:t>
      </w:r>
      <w:r>
        <w:rPr/>
        <w:t>齿三十二骨 颈为与耳本</w:t>
      </w:r>
    </w:p>
    <w:p>
      <w:pPr>
        <w:pStyle w:val="BodyText"/>
        <w:spacing w:line="362" w:lineRule="auto" w:before="1"/>
        <w:jc w:val="both"/>
      </w:pPr>
      <w:r>
        <w:rPr>
          <w:spacing w:val="-2"/>
        </w:rPr>
        <w:t>鼻为与上齶   心与颈咙喉凡为骨八十   颊车与颈四咽亦为骨四   左臂与右臂凡有骨五十   若其斯左胁应有十三肋   亦斯右胁然应有肋十三   斯为四十八三三三相连   二为二相连</w:t>
      </w:r>
      <w:r>
        <w:rPr>
          <w:spacing w:val="-1"/>
        </w:rPr>
        <w:t>其余不相连    身者以为强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>
          <w:spacing w:val="-2"/>
        </w:rPr>
        <w:t>如束苇无强   脊膂三十二尻与腰为三   若其斯左脾骨为二十五   右髀为亦然为骨二十五   肩髀有骨四凡三百二十   敷演名之谛佛以日断嗣   彼叚悉以聚</w:t>
      </w:r>
      <w:r>
        <w:rPr>
          <w:spacing w:val="-1"/>
        </w:rPr>
        <w:t>诸根为以缝    非疮而裹之</w:t>
      </w:r>
    </w:p>
    <w:p>
      <w:pPr>
        <w:pStyle w:val="BodyText"/>
        <w:spacing w:line="362" w:lineRule="auto" w:before="1"/>
        <w:ind w:right="6211"/>
        <w:jc w:val="both"/>
      </w:pPr>
      <w:r>
        <w:rPr>
          <w:spacing w:val="-1"/>
        </w:rPr>
        <w:t>肉血以涂[打-丁+荼]   如木机关缕</w:t>
      </w:r>
      <w:r>
        <w:rPr/>
        <w:t>为如幻师幻 骨机关亦然</w:t>
      </w:r>
    </w:p>
    <w:p>
      <w:pPr>
        <w:pStyle w:val="BodyText"/>
        <w:spacing w:line="362" w:lineRule="auto" w:before="1"/>
        <w:jc w:val="both"/>
      </w:pPr>
      <w:r>
        <w:rPr>
          <w:spacing w:val="-2"/>
        </w:rPr>
        <w:t>以筋缠缚成   合聚骨若此以为是形体   愚者莫不着智者而不着   生革以隐蔽九孔为大疮   周匝为渗漏不净腐臭处   口啄如为孔满之以诸谷   是身为若此以进若干腑   毛发与爪齿尘埃亦皮革   骨节亦骨髓为凡筋与脉   胃与心亦脾</w:t>
      </w:r>
      <w:r>
        <w:rPr>
          <w:spacing w:val="-1"/>
        </w:rPr>
        <w:t>大肠亦小肠    肝与肺亦肾</w:t>
      </w:r>
    </w:p>
    <w:p>
      <w:pPr>
        <w:pStyle w:val="BodyText"/>
        <w:tabs>
          <w:tab w:pos="2612" w:val="left" w:leader="none"/>
          <w:tab w:pos="3236" w:val="left" w:leader="none"/>
        </w:tabs>
        <w:spacing w:line="362" w:lineRule="auto" w:before="2"/>
        <w:ind w:right="6579"/>
      </w:pPr>
      <w:r>
        <w:rPr/>
        <w:t>脂</w:t>
      </w:r>
      <w:r>
        <w:rPr>
          <w:spacing w:val="8"/>
        </w:rPr>
        <w:t>[</w:t>
      </w:r>
      <w:r>
        <w:rPr/>
        <w:t>月</w:t>
      </w:r>
      <w:r>
        <w:rPr>
          <w:spacing w:val="8"/>
        </w:rPr>
        <w:t>*</w:t>
      </w:r>
      <w:r>
        <w:rPr/>
        <w:t>費</w:t>
      </w:r>
      <w:r>
        <w:rPr>
          <w:spacing w:val="8"/>
        </w:rPr>
        <w:t>]</w:t>
      </w:r>
      <w:r>
        <w:rPr/>
        <w:t>亦大便</w:t>
        <w:tab/>
        <w:t>泪与唾亦</w:t>
      </w:r>
      <w:r>
        <w:rPr>
          <w:spacing w:val="-15"/>
        </w:rPr>
        <w:t>汗</w:t>
      </w:r>
      <w:r>
        <w:rPr/>
        <w:t>鼻涕膏亦血</w:t>
        <w:tab/>
        <w:t>寒热肪小便</w:t>
      </w:r>
    </w:p>
    <w:p>
      <w:pPr>
        <w:pStyle w:val="BodyText"/>
        <w:tabs>
          <w:tab w:pos="2612" w:val="left" w:leader="none"/>
          <w:tab w:pos="4598" w:val="left" w:leader="none"/>
        </w:tabs>
        <w:spacing w:line="362" w:lineRule="auto"/>
        <w:ind w:right="5218"/>
      </w:pPr>
      <w:r>
        <w:rPr>
          <w:spacing w:val="8"/>
        </w:rPr>
        <w:t>[</w:t>
      </w:r>
      <w:r>
        <w:rPr/>
        <w:t>膍</w:t>
      </w:r>
      <w:r>
        <w:rPr>
          <w:spacing w:val="8"/>
        </w:rPr>
        <w:t>-</w:t>
      </w:r>
      <w:r>
        <w:rPr/>
        <w:t>囟</w:t>
      </w:r>
      <w:r>
        <w:rPr>
          <w:spacing w:val="8"/>
        </w:rPr>
        <w:t>+</w:t>
      </w:r>
      <w:r>
        <w:rPr/>
        <w:t>山</w:t>
      </w:r>
      <w:r>
        <w:rPr>
          <w:spacing w:val="8"/>
        </w:rPr>
        <w:t>]</w:t>
      </w:r>
      <w:r>
        <w:rPr/>
        <w:t>之与</w:t>
      </w:r>
      <w:r>
        <w:rPr>
          <w:spacing w:val="8"/>
        </w:rPr>
        <w:t>[</w:t>
      </w:r>
      <w:r>
        <w:rPr/>
        <w:t>膍</w:t>
      </w:r>
      <w:r>
        <w:rPr>
          <w:spacing w:val="8"/>
        </w:rPr>
        <w:t>-</w:t>
      </w:r>
      <w:r>
        <w:rPr/>
        <w:t>囟</w:t>
      </w:r>
      <w:r>
        <w:rPr>
          <w:spacing w:val="8"/>
        </w:rPr>
        <w:t>+</w:t>
      </w:r>
      <w:r>
        <w:rPr/>
        <w:t>山</w:t>
      </w:r>
      <w:r>
        <w:rPr>
          <w:spacing w:val="8"/>
        </w:rPr>
        <w:t>]</w:t>
      </w:r>
      <w:r>
        <w:rPr/>
        <w:t>膜</w:t>
        <w:tab/>
        <w:t>皆以沉没</w:t>
      </w:r>
      <w:r>
        <w:rPr>
          <w:spacing w:val="-16"/>
        </w:rPr>
        <w:t>彼</w:t>
      </w:r>
      <w:r>
        <w:rPr/>
        <w:t>如泥涂老牛</w:t>
        <w:tab/>
        <w:t>如其成不知</w:t>
      </w:r>
    </w:p>
    <w:p>
      <w:pPr>
        <w:pStyle w:val="BodyText"/>
        <w:spacing w:line="362" w:lineRule="auto"/>
        <w:jc w:val="both"/>
      </w:pPr>
      <w:r>
        <w:rPr>
          <w:spacing w:val="-2"/>
        </w:rPr>
        <w:t>身之内与外   夫城骨与墙肉血为涂严   为怨所破坏恒为以内外   彼央若干百以为贪其肉   其外亦灾害皆以多尤彼   斯身腐败坏譬如久故城   昼夜供侍之坏如已复坏   如坎与空聚</w:t>
      </w:r>
      <w:r>
        <w:rPr>
          <w:spacing w:val="-1"/>
        </w:rPr>
        <w:t>恒盗贼俱止    取之欺殆人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jc w:val="both"/>
      </w:pPr>
      <w:r>
        <w:rPr/>
        <w:pict>
          <v:group style="position:absolute;margin-left:34.6063pt;margin-top:28.999823pt;width:539.85pt;height:687.3pt;mso-position-horizontal-relative:page;mso-position-vertical-relative:page;z-index:-252086272" coordorigin="692,580" coordsize="10797,13746">
            <v:line style="position:absolute" from="11480,580" to="11480,13861" stroked="true" strokeweight=".80090pt" strokecolor="#000000">
              <v:stroke dashstyle="solid"/>
            </v:line>
            <v:line style="position:absolute" from="700,580" to="700,13861" stroked="true" strokeweight=".80090pt" strokecolor="#000000">
              <v:stroke dashstyle="solid"/>
            </v:line>
            <v:rect style="position:absolute;left:692;top:13860;width:10797;height:465" filled="true" fillcolor="#ff9933" stroked="false">
              <v:fill type="solid"/>
            </v:rect>
            <v:rect style="position:absolute;left:700;top:13868;width:10781;height:449" filled="false" stroked="true" strokeweight=".80090pt" strokecolor="#000000">
              <v:stroke dashstyle="solid"/>
            </v:rect>
            <v:shape style="position:absolute;left:1252;top:12675;width:65;height:481" coordorigin="1253,12675" coordsize="65,481" path="m1317,13124l1315,13110,1309,13100,1299,13094,1285,13092,1271,13094,1261,13100,1255,13110,1253,13124,1255,13138,1261,13148,1271,13154,1285,13156,1299,13154,1309,13148,1315,13138,1317,13124m1317,12708l1315,12693,1309,12683,1299,12677,1285,12675,1271,12677,1261,12683,1255,12693,1253,12708,1255,12722,1261,12732,1271,12738,1285,12740,1299,12738,1309,12732,1315,12722,1317,12708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身为毒虺穴   夫毒虺剧毒恒于身居止   喜怒毒奸弊孚不和大毒   正使满百岁恒以和安隐   忿则无反复须臾复不安   斯身为灾祸嫌而有恐畏   如虎游荒泽有畏多恐怖   诸念为以仰为一切苦器   亦为诸剧事斯身主为受   沈于苦之法一切诸病宅   为老死之法身为增恩爱   苦以寒与热或风而不和   是则病如生为败坏诸根   失疾贼害人老死笮厄人   如雪聚得火疾而为解释   斯若此无数身之多灾祸   吾所演一切未能已备具   要以为诸苦腐身为不实   多因缘以成大耶以为躯</w:t>
      </w:r>
    </w:p>
    <w:p>
      <w:pPr>
        <w:pStyle w:val="BodyText"/>
        <w:spacing w:before="12"/>
        <w:ind w:left="0" w:right="0"/>
        <w:rPr>
          <w:sz w:val="8"/>
        </w:rPr>
      </w:pPr>
    </w:p>
    <w:p>
      <w:pPr>
        <w:pStyle w:val="BodyText"/>
        <w:spacing w:before="66"/>
        <w:ind w:left="3211" w:right="3208"/>
        <w:jc w:val="center"/>
      </w:pPr>
      <w:r>
        <w:rPr>
          <w:color w:val="993300"/>
        </w:rPr>
        <w:t>十一因缘章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449" w:right="477" w:firstLine="480"/>
      </w:pPr>
      <w:r>
        <w:rPr/>
        <w:t>佛言。行者有十一因缘。灭道制令人不堕恶道。当不识者。谓万物。一为大会。谓人众。二者多食。谓诸美。亦谓过饱。三者为多行。谓多业。四为多喧。谓多语。五为多睡眠。六为会 聚。谓禅中。七为习行。谓多事。八为爱身。九为轻。谓非法语。十为贪谓多欲。十一为不好善处居。谓恶人中。行道者当断是十一因缘。得道疾。</w:t>
      </w:r>
    </w:p>
    <w:p>
      <w:pPr>
        <w:pStyle w:val="BodyText"/>
        <w:spacing w:before="11"/>
        <w:ind w:left="0" w:right="0"/>
      </w:pPr>
    </w:p>
    <w:p>
      <w:pPr>
        <w:pStyle w:val="BodyText"/>
        <w:spacing w:line="324" w:lineRule="auto" w:before="67"/>
        <w:ind w:left="873" w:right="4378"/>
      </w:pPr>
      <w:hyperlink r:id="rId5">
        <w:r>
          <w:rPr>
            <w:color w:val="878787"/>
          </w:rPr>
          <w:t>上一部：乾隆大藏经·西土圣贤撰集·禅要诃欲经一卷</w:t>
        </w:r>
      </w:hyperlink>
      <w:hyperlink r:id="rId6">
        <w:r>
          <w:rPr>
            <w:color w:val="878787"/>
          </w:rPr>
          <w:t>下一部：乾隆大藏经·西土圣贤撰集·法观经一卷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spacing w:before="1"/>
        <w:ind w:left="3211" w:right="3208"/>
        <w:jc w:val="center"/>
      </w:pPr>
      <w:r>
        <w:rPr>
          <w:color w:val="DDDDDD"/>
        </w:rPr>
        <w:t>乾隆大藏经·西土圣贤撰集·内身观章句经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471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3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18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3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82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3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8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93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285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443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53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623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71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80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899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99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08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17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7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70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520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671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82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71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121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 w:right="7204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53.htm" TargetMode="External"/><Relationship Id="rId6" Type="http://schemas.openxmlformats.org/officeDocument/2006/relationships/hyperlink" Target="http://qldzj.com/htmljw/135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2020-04-22T09:57:01Z</dcterms:created>
  <dcterms:modified xsi:type="dcterms:W3CDTF">2020-04-22T09:57:01Z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