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496"/>
        <w:gridCol w:w="4586"/>
        <w:gridCol w:w="3699"/>
      </w:tblGrid>
      <w:tr>
        <w:trPr>
          <w:trHeight w:val="748" w:hRule="atLeast"/>
        </w:trPr>
        <w:tc>
          <w:tcPr>
            <w:tcW w:w="7082" w:type="dxa"/>
            <w:gridSpan w:val="2"/>
            <w:tcBorders>
              <w:right w:val="nil"/>
            </w:tcBorders>
            <w:shd w:val="clear" w:color="auto" w:fill="FF9933"/>
          </w:tcPr>
          <w:p>
            <w:pPr>
              <w:pStyle w:val="TableParagraph"/>
              <w:tabs>
                <w:tab w:pos="4187" w:val="left" w:leader="none"/>
              </w:tabs>
              <w:spacing w:before="86"/>
              <w:ind w:left="327"/>
              <w:rPr>
                <w:sz w:val="24"/>
              </w:rPr>
            </w:pPr>
            <w:r>
              <w:rPr>
                <w:color w:val="DDDDDD"/>
                <w:sz w:val="24"/>
              </w:rPr>
              <w:t>西土圣贤撰集·第</w:t>
            </w:r>
            <w:r>
              <w:rPr>
                <w:color w:val="DDDDDD"/>
                <w:spacing w:val="8"/>
                <w:sz w:val="24"/>
              </w:rPr>
              <w:t>1368</w:t>
            </w:r>
            <w:r>
              <w:rPr>
                <w:color w:val="DDDDDD"/>
                <w:sz w:val="24"/>
              </w:rPr>
              <w:t>部</w:t>
              <w:tab/>
            </w:r>
            <w:r>
              <w:rPr>
                <w:color w:val="EDFFFF"/>
                <w:sz w:val="24"/>
              </w:rPr>
              <w:t>贤圣集伽陀一百颂一卷</w:t>
            </w:r>
          </w:p>
        </w:tc>
        <w:tc>
          <w:tcPr>
            <w:tcW w:w="3699" w:type="dxa"/>
            <w:tcBorders>
              <w:left w:val="nil"/>
            </w:tcBorders>
            <w:shd w:val="clear" w:color="auto" w:fill="FF9933"/>
          </w:tcPr>
          <w:p>
            <w:pPr>
              <w:pStyle w:val="TableParagraph"/>
              <w:spacing w:line="290" w:lineRule="exact" w:before="86"/>
              <w:ind w:left="0" w:right="308"/>
              <w:jc w:val="right"/>
              <w:rPr>
                <w:sz w:val="24"/>
              </w:rPr>
            </w:pPr>
            <w:r>
              <w:rPr>
                <w:color w:val="DDDDDD"/>
                <w:sz w:val="24"/>
              </w:rPr>
              <w:t>宋西天译经三藏天息灾奉诏</w:t>
            </w:r>
          </w:p>
          <w:p>
            <w:pPr>
              <w:pStyle w:val="TableParagraph"/>
              <w:spacing w:line="290" w:lineRule="exact" w:before="0"/>
              <w:ind w:left="0" w:right="308"/>
              <w:jc w:val="right"/>
              <w:rPr>
                <w:sz w:val="24"/>
              </w:rPr>
            </w:pPr>
            <w:r>
              <w:rPr>
                <w:color w:val="DDDDDD"/>
                <w:sz w:val="24"/>
              </w:rPr>
              <w:t>译</w:t>
            </w:r>
          </w:p>
        </w:tc>
      </w:tr>
      <w:tr>
        <w:trPr>
          <w:trHeight w:val="1149" w:hRule="atLeast"/>
        </w:trPr>
        <w:tc>
          <w:tcPr>
            <w:tcW w:w="2496"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2"/>
                <w:sz w:val="24"/>
              </w:rPr>
              <w:t> 卷数</w:t>
            </w:r>
          </w:p>
          <w:p>
            <w:pPr>
              <w:pStyle w:val="TableParagraph"/>
              <w:spacing w:before="4"/>
              <w:ind w:left="0"/>
              <w:rPr>
                <w:rFonts w:ascii="Times New Roman"/>
                <w:sz w:val="30"/>
              </w:rPr>
            </w:pPr>
          </w:p>
          <w:p>
            <w:pPr>
              <w:pStyle w:val="TableParagraph"/>
              <w:spacing w:before="0"/>
              <w:ind w:left="543"/>
              <w:rPr>
                <w:sz w:val="24"/>
              </w:rPr>
            </w:pPr>
            <w:r>
              <w:rPr>
                <w:color w:val="FF3300"/>
                <w:sz w:val="24"/>
              </w:rPr>
              <w:t>贤圣集伽陀一百颂</w:t>
            </w:r>
          </w:p>
        </w:tc>
        <w:tc>
          <w:tcPr>
            <w:tcW w:w="4586" w:type="dxa"/>
            <w:tcBorders>
              <w:left w:val="nil"/>
              <w:right w:val="nil"/>
            </w:tcBorders>
          </w:tcPr>
          <w:p>
            <w:pPr>
              <w:pStyle w:val="TableParagraph"/>
              <w:numPr>
                <w:ilvl w:val="0"/>
                <w:numId w:val="2"/>
              </w:numPr>
              <w:tabs>
                <w:tab w:pos="380" w:val="left" w:leader="none"/>
                <w:tab w:pos="1398" w:val="left" w:leader="none"/>
              </w:tabs>
              <w:spacing w:line="290" w:lineRule="exact" w:before="86" w:after="0"/>
              <w:ind w:left="379" w:right="0" w:hanging="369"/>
              <w:jc w:val="left"/>
              <w:rPr>
                <w:sz w:val="24"/>
              </w:rPr>
            </w:pP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r>
          </w:p>
          <w:p>
            <w:pPr>
              <w:pStyle w:val="TableParagraph"/>
              <w:numPr>
                <w:ilvl w:val="1"/>
                <w:numId w:val="2"/>
              </w:numPr>
              <w:tabs>
                <w:tab w:pos="1767" w:val="left" w:leader="none"/>
              </w:tabs>
              <w:spacing w:line="290" w:lineRule="exact" w:before="0" w:after="0"/>
              <w:ind w:left="1766" w:right="0" w:hanging="369"/>
              <w:jc w:val="left"/>
              <w:rPr>
                <w:sz w:val="24"/>
              </w:rPr>
            </w:pPr>
            <w:r>
              <w:rPr>
                <w:color w:val="993300"/>
                <w:sz w:val="24"/>
              </w:rPr>
              <w:t>译作者</w:t>
            </w:r>
          </w:p>
        </w:tc>
        <w:tc>
          <w:tcPr>
            <w:tcW w:w="3699" w:type="dxa"/>
            <w:tcBorders>
              <w:left w:val="nil"/>
            </w:tcBorders>
          </w:tcPr>
          <w:p>
            <w:pPr>
              <w:pStyle w:val="TableParagraph"/>
              <w:spacing w:line="213" w:lineRule="auto" w:before="113"/>
              <w:ind w:left="2125" w:right="360"/>
              <w:rPr>
                <w:sz w:val="24"/>
              </w:rPr>
            </w:pPr>
            <w:r>
              <w:rPr>
                <w:sz w:val="24"/>
              </w:rPr>
              <w:t>字体：</w:t>
            </w:r>
            <w:r>
              <w:rPr>
                <w:color w:val="FF3300"/>
                <w:sz w:val="24"/>
              </w:rPr>
              <w:t>大号中号 小号</w:t>
            </w:r>
          </w:p>
        </w:tc>
      </w:tr>
      <w:tr>
        <w:trPr>
          <w:trHeight w:val="712" w:hRule="atLeast"/>
        </w:trPr>
        <w:tc>
          <w:tcPr>
            <w:tcW w:w="10781" w:type="dxa"/>
            <w:gridSpan w:val="3"/>
            <w:tcBorders>
              <w:bottom w:val="nil"/>
            </w:tcBorders>
          </w:tcPr>
          <w:p>
            <w:pPr>
              <w:pStyle w:val="TableParagraph"/>
              <w:spacing w:before="5"/>
              <w:ind w:left="0"/>
              <w:rPr>
                <w:rFonts w:ascii="Times New Roman"/>
                <w:sz w:val="21"/>
              </w:rPr>
            </w:pPr>
          </w:p>
          <w:p>
            <w:pPr>
              <w:pStyle w:val="TableParagraph"/>
              <w:spacing w:before="0"/>
              <w:ind w:left="4409" w:right="4392"/>
              <w:jc w:val="center"/>
              <w:rPr>
                <w:sz w:val="24"/>
              </w:rPr>
            </w:pPr>
            <w:r>
              <w:rPr>
                <w:color w:val="FF3300"/>
                <w:sz w:val="24"/>
              </w:rPr>
              <w:t>贤圣集伽陀一百颂</w:t>
            </w:r>
          </w:p>
        </w:tc>
      </w:tr>
      <w:tr>
        <w:trPr>
          <w:trHeight w:val="536" w:hRule="atLeast"/>
        </w:trPr>
        <w:tc>
          <w:tcPr>
            <w:tcW w:w="10781" w:type="dxa"/>
            <w:gridSpan w:val="3"/>
            <w:tcBorders>
              <w:top w:val="nil"/>
              <w:bottom w:val="nil"/>
            </w:tcBorders>
          </w:tcPr>
          <w:p>
            <w:pPr>
              <w:pStyle w:val="TableParagraph"/>
              <w:tabs>
                <w:tab w:pos="2970" w:val="left" w:leader="none"/>
              </w:tabs>
              <w:spacing w:before="142"/>
              <w:rPr>
                <w:sz w:val="24"/>
              </w:rPr>
            </w:pPr>
            <w:r>
              <w:rPr>
                <w:sz w:val="24"/>
              </w:rPr>
              <w:t>稽首一切出世间</w:t>
              <w:tab/>
              <w:t>三界最尊功德海</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智火能烧烦恼垢</w:t>
              <w:tab/>
              <w:t>正觉我今归命礼</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稽首能拔生死崄</w:t>
              <w:tab/>
              <w:t>普竭忧恼贪痴海</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破彼尘劳罪业山</w:t>
              <w:tab/>
              <w:t>我今归礼妙法宝</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稽首一切佛称赞</w:t>
              <w:tab/>
              <w:t>八圣道行作庄严</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无为禅定渐圆明</w:t>
              <w:tab/>
              <w:t>我今归礼圣众宝</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内宫宝藏诸楼阁</w:t>
              <w:tab/>
              <w:t>金玉摩尼种种光</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真珠璎珞广庄严</w:t>
              <w:tab/>
              <w:t>百千天人恒游履</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若得安居天界中</w:t>
              <w:tab/>
              <w:t>修严佛寺获斯报</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信心归敬于三宝</w:t>
              <w:tab/>
              <w:t>给施财帛精舍中</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受彼人天快乐已</w:t>
              <w:tab/>
              <w:t>当得涅盘寂灭果</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精舍年深多摧坏</w:t>
              <w:tab/>
              <w:t>重修严饰供佛僧</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常获快乐住人天</w:t>
              <w:tab/>
              <w:t>亦得涅槃寂灭果</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若于精舍施园林</w:t>
              <w:tab/>
              <w:t>座具衣服汤药等</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复遇恶世饥难时</w:t>
              <w:tab/>
              <w:t>施彼众生饮食物</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如是而获无边福</w:t>
              <w:tab/>
              <w:t>及得智者七圣财</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消除一切恶道苦</w:t>
              <w:tab/>
              <w:t>永受大富无穷尽</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诸佛如来行住处</w:t>
              <w:tab/>
              <w:t>若人到已生恭敬</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承事供养兼闻法</w:t>
              <w:tab/>
              <w:t>深信修学依戒行</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当获广大无边果</w:t>
              <w:tab/>
              <w:t>譬如大海渺渺深</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以器较量算不及</w:t>
              <w:tab/>
              <w:t>福德因缘亦如是</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若人修建于佛殿</w:t>
              <w:tab/>
              <w:t>寒热风雨不能侵</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最先获证寂灭法</w:t>
              <w:tab/>
              <w:t>圆满一切随意愿</w:t>
            </w:r>
          </w:p>
        </w:tc>
      </w:tr>
      <w:tr>
        <w:trPr>
          <w:trHeight w:val="464" w:hRule="atLeast"/>
        </w:trPr>
        <w:tc>
          <w:tcPr>
            <w:tcW w:w="10781" w:type="dxa"/>
            <w:gridSpan w:val="3"/>
            <w:tcBorders>
              <w:top w:val="nil"/>
              <w:bottom w:val="nil"/>
            </w:tcBorders>
          </w:tcPr>
          <w:p>
            <w:pPr>
              <w:pStyle w:val="TableParagraph"/>
              <w:tabs>
                <w:tab w:pos="2970" w:val="left" w:leader="none"/>
              </w:tabs>
              <w:rPr>
                <w:sz w:val="24"/>
              </w:rPr>
            </w:pPr>
            <w:r>
              <w:rPr>
                <w:sz w:val="24"/>
              </w:rPr>
              <w:t>若人塑画于佛像</w:t>
              <w:tab/>
              <w:t>忧恼疾病得解脱</w:t>
            </w:r>
          </w:p>
        </w:tc>
      </w:tr>
      <w:tr>
        <w:trPr>
          <w:trHeight w:val="686" w:hRule="atLeast"/>
        </w:trPr>
        <w:tc>
          <w:tcPr>
            <w:tcW w:w="10781" w:type="dxa"/>
            <w:gridSpan w:val="3"/>
            <w:tcBorders>
              <w:top w:val="nil"/>
              <w:bottom w:val="nil"/>
            </w:tcBorders>
          </w:tcPr>
          <w:p>
            <w:pPr>
              <w:pStyle w:val="TableParagraph"/>
              <w:tabs>
                <w:tab w:pos="2970" w:val="left" w:leader="none"/>
              </w:tabs>
              <w:rPr>
                <w:sz w:val="24"/>
              </w:rPr>
            </w:pPr>
            <w:r>
              <w:rPr>
                <w:sz w:val="24"/>
              </w:rPr>
              <w:t>复得生天胜妙身</w:t>
              <w:tab/>
              <w:t>大智吉祥及尊贵</w:t>
            </w:r>
          </w:p>
        </w:tc>
      </w:tr>
    </w:tbl>
    <w:p>
      <w:pPr>
        <w:spacing w:after="0"/>
        <w:rPr>
          <w:sz w:val="24"/>
        </w:rPr>
        <w:sectPr>
          <w:type w:val="continuous"/>
          <w:pgSz w:w="12240" w:h="15840"/>
          <w:pgMar w:top="700" w:bottom="280" w:left="580" w:right="640"/>
        </w:sectPr>
      </w:pPr>
    </w:p>
    <w:p>
      <w:pPr>
        <w:pStyle w:val="BodyText"/>
        <w:spacing w:line="362" w:lineRule="auto" w:before="80"/>
        <w:ind w:right="6243"/>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spacing w:val="-1"/>
        </w:rPr>
        <w:t>若人重修于佛像   当得坚牢无病身长寿色力诸相圆   后得涅盘寂静乐忧恼诤讼皆灭除   勇猛辩才人称赞调伏诸根而策勤   一切庄严众所敬若人修诸佛像等   远离过失得生天富贵端严众所钦   一切福德皆具足破损塔庙若重修   彼人无病身圆满一切世间可爱果   种种随心皆具足若造佛像及佛塔   形量至小如麦粒不唯天上与人间   决定为王受快乐有色无色生亦尔   富贵无边不可量当离生老病死苦   究竟菩提佛果圆若于塔庙安舍利   及画佛像而供养得彼智光极大地   善逝净妙佛富贵安住无边众生界   同入平等无相性若于寂静山峰上   安置佛塔及相轮形量可如指节许   当生一切人天中端严大富色力安   后作三十三天子若人以手开佛塔   当获富贵及具足身体光洁心柔软   多知性净无嗔恨若有智者行檀度   施佛涂香及白檀恭俱摩等种种香   当获广大可爱果若人信佛生欢喜   持妙香花及音乐种种供养佛如来   生天而感金宝池以彼池莲细香蕊   遍身沾惹而澡浴曼那吉儞水清净   入者尘垢自然除波涛流涌喷香冷   宝岸红莲周匝开天等睹斯恒适意   给施佛僧得此报如是功德不可量   是故诸经结颂赞</w:t>
      </w:r>
      <w:r>
        <w:rPr/>
        <w:t>名衣及上服 施佛及施僧</w:t>
      </w:r>
    </w:p>
    <w:p>
      <w:pPr>
        <w:pStyle w:val="BodyText"/>
        <w:spacing w:before="6"/>
        <w:ind w:right="0"/>
      </w:pPr>
      <w:r>
        <w:rPr/>
        <w:t>后生天界时    最上天衣香</w:t>
      </w:r>
    </w:p>
    <w:p>
      <w:pPr>
        <w:spacing w:after="0"/>
        <w:sectPr>
          <w:pgSz w:w="12240" w:h="15840"/>
          <w:pgMar w:top="580" w:bottom="280" w:left="580" w:right="640"/>
        </w:sectPr>
      </w:pPr>
    </w:p>
    <w:p>
      <w:pPr>
        <w:pStyle w:val="BodyText"/>
        <w:spacing w:line="362" w:lineRule="auto"/>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青黄种种色   百千摩尼宝而用作庄严   富贵而无量快乐亦无边   获斯胜妙果若人生世间   而得作国王具足诸色相   上妙缯彩衣种种殊胜香   随身恒受用皆因施佛衣   成就如斯报若有生天界   种种宝庄严身挂珠璎珞   头戴宝玉冠耳镮及腕钏   如是富快乐施佛庄严具 获天胜妙果</w:t>
      </w:r>
    </w:p>
    <w:p>
      <w:pPr>
        <w:pStyle w:val="BodyText"/>
        <w:spacing w:line="362" w:lineRule="auto" w:before="163"/>
      </w:pPr>
      <w:r>
        <w:rPr/>
        <w:t>若作大国王   身相广严饰璎珞摩尼珠   玎珰声响亮亦是三宝田   布施庄严具智者清净心   施佛花鬘等天上及人间   恒获于快乐复生后报中</w:t>
      </w:r>
    </w:p>
    <w:p>
      <w:pPr>
        <w:pStyle w:val="BodyText"/>
        <w:spacing w:line="362" w:lineRule="auto" w:before="1"/>
      </w:pPr>
      <w:r>
        <w:rPr/>
        <w:t>成就七觉花   复生天山地而为帝释主   与彼诸眷属游嬉于园林   种种花供养而获如是果   琉璃真珠宝金银青绿等   庄严于伞盖团圆如满月   若王若大臣而用覆头顶   如佛说此因施盖获斯报   解脱贪忧恼无病恒安乐   复作世间王亦是施盖报   若于佛塔庙布施于幢幡   当作天轮王世上无能胜   远离一切罪于诸众生中   而为于上首恒得人供养 若人于塔庙</w:t>
      </w:r>
    </w:p>
    <w:p>
      <w:pPr>
        <w:spacing w:after="0" w:line="362" w:lineRule="auto"/>
        <w:sectPr>
          <w:pgSz w:w="12240" w:h="15840"/>
          <w:pgMar w:top="580" w:bottom="280" w:left="580" w:right="640"/>
        </w:sectPr>
      </w:pPr>
    </w:p>
    <w:p>
      <w:pPr>
        <w:pStyle w:val="BodyText"/>
        <w:spacing w:line="362" w:lineRule="auto"/>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布施铃铎等   不生罪恶地常得梵音声   若人作伎乐琴瑟鼓吹等   供养佛圣贤令闻心适悦   当获天耳根庄严常清净   复得金刚慧摧坏烦恼山   若发信喜心以妙色香味   种种美饮食供养诸佛等   当生天界中眷属同宝座   以摩尼宝器食天上妙馔   饥馑刀兵劫永不生其中   若人以饮食供养圣贤众   当生人天中美食常丰足   种种而最上智者恒敬爱   若以美妙食施彼出家者   常获富乐身辩才而长寿   色力相具足施食报如是   若以慈愍心施彼甘蜜水   酥乳酪浆等令彼渴乏者   饮之获安乐亦得如前报   若以呵梨勒林藤诸药草   供施于圣贤当生人天中   无病而长寿恒获身安乐   又彼施浆饮后得生天宫   劫树花芳盛所求随意得   宝器酒蜜等眷属同所饮   又复于劫树能出庄严具   妓唱天乐等悦乐天众心   甘露复随身施饮获斯报   若人设斋食当得生人天   远离于贫寒长命足财宝 若以象马等</w:t>
      </w:r>
    </w:p>
    <w:p>
      <w:pPr>
        <w:spacing w:after="0" w:line="362" w:lineRule="auto"/>
        <w:sectPr>
          <w:pgSz w:w="12240" w:h="15840"/>
          <w:pgMar w:top="580" w:bottom="280" w:left="580" w:right="640"/>
        </w:sectPr>
      </w:pPr>
    </w:p>
    <w:p>
      <w:pPr>
        <w:pStyle w:val="BodyText"/>
        <w:spacing w:line="362" w:lineRule="auto"/>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车乘及辇舆   供施佛如来当得大神通   若施鞋袜等恒生上族家   常有象马车永离贫辛苦   师长等有病若人勤承事   当于一切处所求皆成就   若施座具等当生于天上   不受苦辛勤常坐上妙座   敷设卧具施生天恒快乐   身相广端直无畏人称赞   修种杂园林严饰诸屋宅   施人令游止身心生适悦   当招欢喜园天人游行处   与诸天女等嬉戏受快乐   若于炎热时而作阴凉施   当感优昙钵尼俱菩提树   复后得生天恒受五欲乐   井泉及池沼修饰令严净   济彼渴乏人普皆令充足   后报得生天或生于梵世   种种受快乐复证寂灭果   若以钵多罗布施于三宝   当生一切处富贵而快乐   于彼世间中尊高德最上   复感诸众生恒时而供养   智者若施刀当得生天上   智慧极聪利永不值刀兵   若人施其针智慧恒猛利   能断诸烦恼证彼寂静道   佛说若有人塑画于佛像   生于天界中身体真金色 清净光如日</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而诸天人众   天男及天女恒时而归命   若彼智慧人善能说法施   天上人间生智德力具足   恒受于快乐永离忧悲苦   于其后有身得证寂灭道   若彼诸有情书写妙法宝   当得宿命智富贵恒安乐   而灭一切罪经彼俱胝劫   不堕于地狱及与鬼畜生   若彼有智者扫洒结坛场   旋绕散香花恒时而供养   后生于人间及生于天上   恒受于富贵复证寂灭故   若以长明灯供养佛贤圣   生彼人天中三眼常清净   慧眼与天眼及于肉眼故   又彼施灯者常得生天上   口亦不喑哑耳眼无聋眇   又彼施灯者非唯三眼净   能于正觉法一切悉通达   智者若施财供养有德众   沙门婆罗门少施获多报   广得顺道财长时而受用   又彼行施者食施畜生类   所获于福德而成于百倍   若以财食等布施于罪人   功利渐加殊获福成千倍   若施持戒人福获千百倍   供养无心人得益百俱胝   若人施有学及彼无学者 所获于福德</w:t>
      </w:r>
    </w:p>
    <w:p>
      <w:pPr>
        <w:spacing w:after="0" w:line="362" w:lineRule="auto"/>
        <w:sectPr>
          <w:pgSz w:w="12240" w:h="15840"/>
          <w:pgMar w:top="580" w:bottom="280" w:left="580" w:right="640"/>
        </w:sectPr>
      </w:pPr>
    </w:p>
    <w:p>
      <w:pPr>
        <w:pStyle w:val="BodyText"/>
        <w:spacing w:line="362" w:lineRule="auto" w:before="83"/>
      </w:pPr>
      <w:r>
        <w:rPr/>
        <w:pict>
          <v:group style="position:absolute;margin-left:34.6063pt;margin-top:29.000004pt;width:539.85pt;height:601.7pt;mso-position-horizontal-relative:page;mso-position-vertical-relative:page;z-index:-251932672" coordorigin="692,580" coordsize="10797,12034">
            <v:line style="position:absolute" from="11480,580" to="11480,12149" stroked="true" strokeweight=".80090pt" strokecolor="#000000">
              <v:stroke dashstyle="solid"/>
            </v:line>
            <v:line style="position:absolute" from="700,580" to="700,12149" stroked="true" strokeweight=".80090pt" strokecolor="#000000">
              <v:stroke dashstyle="solid"/>
            </v:line>
            <v:rect style="position:absolute;left:692;top:12148;width:10797;height:465" filled="true" fillcolor="#ff9933" stroked="false">
              <v:fill type="solid"/>
            </v:rect>
            <v:rect style="position:absolute;left:700;top:12156;width:10781;height:449" filled="false" stroked="true" strokeweight=".80090pt" strokecolor="#000000">
              <v:stroke dashstyle="solid"/>
            </v:rect>
            <v:shape style="position:absolute;left:1252;top:10963;width:65;height:481" coordorigin="1253,10963" coordsize="65,481" path="m1317,11412l1315,11398,1309,11388,1299,11382,1285,11380,1271,11382,1261,11388,1255,11398,1253,11412,1255,11426,1261,11436,1271,11442,1285,11444,1299,11442,1309,11436,1315,11426,1317,11412m1317,10995l1315,10981,1309,10971,1299,10965,1285,10963,1271,10965,1261,10971,1255,10981,1253,10995,1255,11009,1261,11020,1271,11026,1285,11028,1299,11026,1309,11020,1315,11009,1317,10995e" filled="true" fillcolor="#000000" stroked="false">
              <v:path arrowok="t"/>
              <v:fill type="solid"/>
            </v:shape>
            <w10:wrap type="none"/>
          </v:group>
        </w:pict>
      </w:r>
      <w:r>
        <w:rPr/>
        <w:t>比前而最上   若施佛如来当生于天上   大富永不断恒受于快乐   乃至尽轮回而证寂灭法   我集此一切佛说伽陀经   略明于福报普令生信受   假使千光日吉祥照大地   夜分满月辉能开青莲花   水天毗沙门帝释那罗延   上首诸天等俱因行施得   日行于虚空上下普皆照   能活诸物命时至亦无常   帝释四天王并及诸天众   福寿穷尽时而入死冤口   忧悲苦恼火不住被焚烧   是故劝汝等观察无常身   远离欲渴心勿耽人天乐   须臾不久长皆归于散坏   我发净信心舍离虚幻乐   常诣于佛前合掌而亲近   以自大菩提而作解脱主</w:t>
      </w:r>
    </w:p>
    <w:p>
      <w:pPr>
        <w:pStyle w:val="BodyText"/>
        <w:spacing w:before="6"/>
        <w:ind w:left="0" w:right="0"/>
        <w:jc w:val="left"/>
        <w:rPr>
          <w:sz w:val="26"/>
        </w:rPr>
      </w:pPr>
    </w:p>
    <w:p>
      <w:pPr>
        <w:pStyle w:val="BodyText"/>
        <w:spacing w:line="324" w:lineRule="auto" w:before="66"/>
        <w:ind w:left="873" w:right="4378"/>
        <w:jc w:val="left"/>
      </w:pPr>
      <w:hyperlink r:id="rId5">
        <w:r>
          <w:rPr>
            <w:color w:val="878787"/>
          </w:rPr>
          <w:t>上一部：乾隆大藏经·西土圣贤撰集·十二游经一卷</w:t>
        </w:r>
      </w:hyperlink>
      <w:hyperlink r:id="rId6">
        <w:r>
          <w:rPr>
            <w:color w:val="878787"/>
          </w:rPr>
          <w:t> 下一部：乾隆大藏经·西土圣贤撰集·</w:t>
        </w:r>
        <w:r>
          <w:rPr>
            <w:color w:val="878787"/>
            <w:spacing w:val="-2"/>
          </w:rPr>
          <w:t>广大发愿颂一卷</w:t>
        </w:r>
      </w:hyperlink>
    </w:p>
    <w:p>
      <w:pPr>
        <w:pStyle w:val="BodyText"/>
        <w:spacing w:before="0"/>
        <w:ind w:left="0" w:right="0"/>
        <w:jc w:val="left"/>
      </w:pPr>
    </w:p>
    <w:p>
      <w:pPr>
        <w:pStyle w:val="BodyText"/>
        <w:spacing w:before="3"/>
        <w:ind w:left="0" w:right="0"/>
        <w:jc w:val="left"/>
        <w:rPr>
          <w:sz w:val="21"/>
        </w:rPr>
      </w:pPr>
    </w:p>
    <w:p>
      <w:pPr>
        <w:pStyle w:val="BodyText"/>
        <w:spacing w:before="0"/>
        <w:ind w:left="2971" w:right="2968"/>
        <w:jc w:val="center"/>
      </w:pPr>
      <w:r>
        <w:rPr>
          <w:color w:val="DDDDDD"/>
        </w:rPr>
        <w:t>乾隆大藏经·西土圣贤撰集·贤圣集伽陀一百颂</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379"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766"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2074" w:hanging="369"/>
      </w:pPr>
      <w:rPr>
        <w:rFonts w:hint="default"/>
        <w:lang w:val="zh-CN" w:eastAsia="zh-CN" w:bidi="zh-CN"/>
      </w:rPr>
    </w:lvl>
    <w:lvl w:ilvl="3">
      <w:start w:val="0"/>
      <w:numFmt w:val="bullet"/>
      <w:lvlText w:val="•"/>
      <w:lvlJc w:val="left"/>
      <w:pPr>
        <w:ind w:left="2388" w:hanging="369"/>
      </w:pPr>
      <w:rPr>
        <w:rFonts w:hint="default"/>
        <w:lang w:val="zh-CN" w:eastAsia="zh-CN" w:bidi="zh-CN"/>
      </w:rPr>
    </w:lvl>
    <w:lvl w:ilvl="4">
      <w:start w:val="0"/>
      <w:numFmt w:val="bullet"/>
      <w:lvlText w:val="•"/>
      <w:lvlJc w:val="left"/>
      <w:pPr>
        <w:ind w:left="2702" w:hanging="369"/>
      </w:pPr>
      <w:rPr>
        <w:rFonts w:hint="default"/>
        <w:lang w:val="zh-CN" w:eastAsia="zh-CN" w:bidi="zh-CN"/>
      </w:rPr>
    </w:lvl>
    <w:lvl w:ilvl="5">
      <w:start w:val="0"/>
      <w:numFmt w:val="bullet"/>
      <w:lvlText w:val="•"/>
      <w:lvlJc w:val="left"/>
      <w:pPr>
        <w:ind w:left="3016" w:hanging="369"/>
      </w:pPr>
      <w:rPr>
        <w:rFonts w:hint="default"/>
        <w:lang w:val="zh-CN" w:eastAsia="zh-CN" w:bidi="zh-CN"/>
      </w:rPr>
    </w:lvl>
    <w:lvl w:ilvl="6">
      <w:start w:val="0"/>
      <w:numFmt w:val="bullet"/>
      <w:lvlText w:val="•"/>
      <w:lvlJc w:val="left"/>
      <w:pPr>
        <w:ind w:left="3330" w:hanging="369"/>
      </w:pPr>
      <w:rPr>
        <w:rFonts w:hint="default"/>
        <w:lang w:val="zh-CN" w:eastAsia="zh-CN" w:bidi="zh-CN"/>
      </w:rPr>
    </w:lvl>
    <w:lvl w:ilvl="7">
      <w:start w:val="0"/>
      <w:numFmt w:val="bullet"/>
      <w:lvlText w:val="•"/>
      <w:lvlJc w:val="left"/>
      <w:pPr>
        <w:ind w:left="3644" w:hanging="369"/>
      </w:pPr>
      <w:rPr>
        <w:rFonts w:hint="default"/>
        <w:lang w:val="zh-CN" w:eastAsia="zh-CN" w:bidi="zh-CN"/>
      </w:rPr>
    </w:lvl>
    <w:lvl w:ilvl="8">
      <w:start w:val="0"/>
      <w:numFmt w:val="bullet"/>
      <w:lvlText w:val="•"/>
      <w:lvlJc w:val="left"/>
      <w:pPr>
        <w:ind w:left="3958"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076" w:hanging="369"/>
      </w:pPr>
      <w:rPr>
        <w:rFonts w:hint="default"/>
        <w:lang w:val="zh-CN" w:eastAsia="zh-CN" w:bidi="zh-CN"/>
      </w:rPr>
    </w:lvl>
    <w:lvl w:ilvl="2">
      <w:start w:val="0"/>
      <w:numFmt w:val="bullet"/>
      <w:lvlText w:val="•"/>
      <w:lvlJc w:val="left"/>
      <w:pPr>
        <w:ind w:left="1233" w:hanging="369"/>
      </w:pPr>
      <w:rPr>
        <w:rFonts w:hint="default"/>
        <w:lang w:val="zh-CN" w:eastAsia="zh-CN" w:bidi="zh-CN"/>
      </w:rPr>
    </w:lvl>
    <w:lvl w:ilvl="3">
      <w:start w:val="0"/>
      <w:numFmt w:val="bullet"/>
      <w:lvlText w:val="•"/>
      <w:lvlJc w:val="left"/>
      <w:pPr>
        <w:ind w:left="1389" w:hanging="369"/>
      </w:pPr>
      <w:rPr>
        <w:rFonts w:hint="default"/>
        <w:lang w:val="zh-CN" w:eastAsia="zh-CN" w:bidi="zh-CN"/>
      </w:rPr>
    </w:lvl>
    <w:lvl w:ilvl="4">
      <w:start w:val="0"/>
      <w:numFmt w:val="bullet"/>
      <w:lvlText w:val="•"/>
      <w:lvlJc w:val="left"/>
      <w:pPr>
        <w:ind w:left="1546" w:hanging="369"/>
      </w:pPr>
      <w:rPr>
        <w:rFonts w:hint="default"/>
        <w:lang w:val="zh-CN" w:eastAsia="zh-CN" w:bidi="zh-CN"/>
      </w:rPr>
    </w:lvl>
    <w:lvl w:ilvl="5">
      <w:start w:val="0"/>
      <w:numFmt w:val="bullet"/>
      <w:lvlText w:val="•"/>
      <w:lvlJc w:val="left"/>
      <w:pPr>
        <w:ind w:left="1703" w:hanging="369"/>
      </w:pPr>
      <w:rPr>
        <w:rFonts w:hint="default"/>
        <w:lang w:val="zh-CN" w:eastAsia="zh-CN" w:bidi="zh-CN"/>
      </w:rPr>
    </w:lvl>
    <w:lvl w:ilvl="6">
      <w:start w:val="0"/>
      <w:numFmt w:val="bullet"/>
      <w:lvlText w:val="•"/>
      <w:lvlJc w:val="left"/>
      <w:pPr>
        <w:ind w:left="1859" w:hanging="369"/>
      </w:pPr>
      <w:rPr>
        <w:rFonts w:hint="default"/>
        <w:lang w:val="zh-CN" w:eastAsia="zh-CN" w:bidi="zh-CN"/>
      </w:rPr>
    </w:lvl>
    <w:lvl w:ilvl="7">
      <w:start w:val="0"/>
      <w:numFmt w:val="bullet"/>
      <w:lvlText w:val="•"/>
      <w:lvlJc w:val="left"/>
      <w:pPr>
        <w:ind w:left="2016" w:hanging="369"/>
      </w:pPr>
      <w:rPr>
        <w:rFonts w:hint="default"/>
        <w:lang w:val="zh-CN" w:eastAsia="zh-CN" w:bidi="zh-CN"/>
      </w:rPr>
    </w:lvl>
    <w:lvl w:ilvl="8">
      <w:start w:val="0"/>
      <w:numFmt w:val="bullet"/>
      <w:lvlText w:val="•"/>
      <w:lvlJc w:val="left"/>
      <w:pPr>
        <w:ind w:left="2172"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81"/>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0"/>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67.htm" TargetMode="External"/><Relationship Id="rId6" Type="http://schemas.openxmlformats.org/officeDocument/2006/relationships/hyperlink" Target="http://qldzj.com/htmljw/136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2020-04-22T09:59:35Z</dcterms:created>
  <dcterms:modified xsi:type="dcterms:W3CDTF">2020-04-22T09:59:35Z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