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17"/>
        <w:gridCol w:w="3344"/>
        <w:gridCol w:w="3819"/>
      </w:tblGrid>
      <w:tr>
        <w:trPr>
          <w:trHeight w:val="748" w:hRule="atLeast"/>
        </w:trPr>
        <w:tc>
          <w:tcPr>
            <w:tcW w:w="3617" w:type="dxa"/>
            <w:tcBorders>
              <w:right w:val="nil"/>
            </w:tcBorders>
            <w:shd w:val="clear" w:color="auto" w:fill="FF9933"/>
          </w:tcPr>
          <w:p>
            <w:pPr>
              <w:pStyle w:val="TableParagraph"/>
              <w:spacing w:before="86"/>
              <w:ind w:left="327"/>
              <w:rPr>
                <w:sz w:val="24"/>
              </w:rPr>
            </w:pPr>
            <w:r>
              <w:rPr>
                <w:color w:val="DDDDDD"/>
                <w:sz w:val="24"/>
              </w:rPr>
              <w:t>西土圣贤撰集·第1372部</w:t>
            </w:r>
          </w:p>
        </w:tc>
        <w:tc>
          <w:tcPr>
            <w:tcW w:w="3344" w:type="dxa"/>
            <w:tcBorders>
              <w:left w:val="nil"/>
              <w:right w:val="nil"/>
            </w:tcBorders>
            <w:shd w:val="clear" w:color="auto" w:fill="FF9933"/>
          </w:tcPr>
          <w:p>
            <w:pPr>
              <w:pStyle w:val="TableParagraph"/>
              <w:spacing w:before="86"/>
              <w:ind w:left="821"/>
              <w:rPr>
                <w:sz w:val="24"/>
              </w:rPr>
            </w:pPr>
            <w:r>
              <w:rPr>
                <w:color w:val="EDFFFF"/>
                <w:sz w:val="24"/>
              </w:rPr>
              <w:t>十不善业道经一卷</w:t>
            </w:r>
          </w:p>
        </w:tc>
        <w:tc>
          <w:tcPr>
            <w:tcW w:w="3819" w:type="dxa"/>
            <w:tcBorders>
              <w:left w:val="nil"/>
            </w:tcBorders>
            <w:shd w:val="clear" w:color="auto" w:fill="FF9933"/>
          </w:tcPr>
          <w:p>
            <w:pPr>
              <w:pStyle w:val="TableParagraph"/>
              <w:spacing w:line="290" w:lineRule="exact" w:before="86"/>
              <w:ind w:right="307"/>
              <w:jc w:val="right"/>
              <w:rPr>
                <w:sz w:val="24"/>
              </w:rPr>
            </w:pPr>
            <w:r>
              <w:rPr>
                <w:color w:val="DDDDDD"/>
                <w:sz w:val="24"/>
              </w:rPr>
              <w:t>马鸣菩萨集宋西天译经三藏</w:t>
            </w:r>
          </w:p>
          <w:p>
            <w:pPr>
              <w:pStyle w:val="TableParagraph"/>
              <w:spacing w:line="290" w:lineRule="exact"/>
              <w:ind w:right="307"/>
              <w:jc w:val="right"/>
              <w:rPr>
                <w:sz w:val="24"/>
              </w:rPr>
            </w:pPr>
            <w:r>
              <w:rPr>
                <w:color w:val="DDDDDD"/>
                <w:sz w:val="24"/>
              </w:rPr>
              <w:t>日称等奉诏译</w:t>
            </w:r>
          </w:p>
        </w:tc>
      </w:tr>
      <w:tr>
        <w:trPr>
          <w:trHeight w:val="1149" w:hRule="atLeast"/>
        </w:trPr>
        <w:tc>
          <w:tcPr>
            <w:tcW w:w="361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rPr>
                <w:rFonts w:ascii="Times New Roman"/>
                <w:sz w:val="30"/>
              </w:rPr>
            </w:pPr>
          </w:p>
          <w:p>
            <w:pPr>
              <w:pStyle w:val="TableParagraph"/>
              <w:ind w:left="543"/>
              <w:rPr>
                <w:sz w:val="24"/>
              </w:rPr>
            </w:pPr>
            <w:r>
              <w:rPr>
                <w:color w:val="FF3300"/>
                <w:sz w:val="24"/>
              </w:rPr>
              <w:t>十不善业道经</w:t>
            </w:r>
          </w:p>
        </w:tc>
        <w:tc>
          <w:tcPr>
            <w:tcW w:w="3344" w:type="dxa"/>
            <w:tcBorders>
              <w:left w:val="nil"/>
              <w:right w:val="nil"/>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3819" w:type="dxa"/>
            <w:tcBorders>
              <w:left w:val="nil"/>
            </w:tcBorders>
          </w:tcPr>
          <w:p>
            <w:pPr>
              <w:pStyle w:val="TableParagraph"/>
              <w:spacing w:line="213" w:lineRule="auto" w:before="113"/>
              <w:ind w:left="2246" w:right="359"/>
              <w:rPr>
                <w:sz w:val="24"/>
              </w:rPr>
            </w:pPr>
            <w:r>
              <w:rPr>
                <w:sz w:val="24"/>
              </w:rPr>
              <w:t>字体：</w:t>
            </w:r>
            <w:r>
              <w:rPr>
                <w:color w:val="FF3300"/>
                <w:sz w:val="24"/>
              </w:rPr>
              <w:t>大号中号 小号</w:t>
            </w:r>
          </w:p>
        </w:tc>
      </w:tr>
      <w:tr>
        <w:trPr>
          <w:trHeight w:val="9094" w:hRule="atLeast"/>
        </w:trPr>
        <w:tc>
          <w:tcPr>
            <w:tcW w:w="10780" w:type="dxa"/>
            <w:gridSpan w:val="3"/>
          </w:tcPr>
          <w:p>
            <w:pPr>
              <w:pStyle w:val="TableParagraph"/>
              <w:spacing w:before="5"/>
              <w:rPr>
                <w:rFonts w:ascii="Times New Roman"/>
                <w:sz w:val="21"/>
              </w:rPr>
            </w:pPr>
          </w:p>
          <w:p>
            <w:pPr>
              <w:pStyle w:val="TableParagraph"/>
              <w:ind w:left="3089" w:right="3071"/>
              <w:jc w:val="center"/>
              <w:rPr>
                <w:sz w:val="24"/>
              </w:rPr>
            </w:pPr>
            <w:r>
              <w:rPr>
                <w:color w:val="FF3300"/>
                <w:sz w:val="24"/>
              </w:rPr>
              <w:t>十不善业道经</w:t>
            </w:r>
          </w:p>
          <w:p>
            <w:pPr>
              <w:pStyle w:val="TableParagraph"/>
              <w:spacing w:before="2"/>
              <w:rPr>
                <w:rFonts w:ascii="Times New Roman"/>
                <w:sz w:val="26"/>
              </w:rPr>
            </w:pPr>
          </w:p>
          <w:p>
            <w:pPr>
              <w:pStyle w:val="TableParagraph"/>
              <w:spacing w:line="362" w:lineRule="auto"/>
              <w:ind w:left="327" w:right="339" w:firstLine="480"/>
              <w:jc w:val="both"/>
              <w:rPr>
                <w:sz w:val="24"/>
              </w:rPr>
            </w:pPr>
            <w:r>
              <w:rPr>
                <w:sz w:val="24"/>
              </w:rPr>
              <w:t>此十不善业道体性是罪。若乐求佛道者远离彼过。当如是知。何等为十。所谓身业三种。语业四种。意业三种。于是义中今当解说。身三种者。杀生不与取欲邪行。语四种者。妄言绮语两舌恶语。意三种者。贪瞋邪见。云何杀生。谓于有情率先见已。次审其名决定欲杀动身施作断其命根。如是五缘次第具足。成杀生罪定感彼果。云何不与取。谓于他物先窥觇已。而起审虑决定欲取动身所作即盗其物。具足五缘成不与取罪。云何欲邪行。于此罪中而有四类。非处非时非分非往。非处者。谓于诸佛菩萨经像和尚阇梨父母所止。或相邻近。皆所不应。非时者。谓于昼日或偶月事怀妊新产。彼不乐欲及病恼等。或受净住八关斋戒。皆非其宜。非分者。谓于面门及以非道。童男处女自执持等。俱不应作。非往者。谓于他妻及比丘尼亲族异趣及炫卖等。设自境界作非梵行。所不应理。如上当知。云何妄语。谓于见物或他遗坠。审知是已决定而取彼若寻求起虚妄说。具是五缘成妄语罪。云何绮语。谓于他人以染污心增饰其非。对彼而说。云何两舌。于他所有隐密等事。以非理言而作离间。云何恶语。谓于贪欲和合事相。以杂染言厉声而说。云何名贪。于他财富及彼受用。起爱乐心非理希望。云何名瞋。谓于有情起忿恚心。而作损恼及捶打等。云何邪见。谓无施等无彼后世无供养事无佛世尊声闻缘觉无罪无福无所作业无所受报。如正法念处经及余经说。此十不善业道是地狱因。于十善业道应当修学。则于恶趣永不堕落。</w:t>
            </w:r>
          </w:p>
          <w:p>
            <w:pPr>
              <w:pStyle w:val="TableParagraph"/>
              <w:spacing w:before="1"/>
              <w:rPr>
                <w:rFonts w:ascii="Times New Roman"/>
                <w:sz w:val="35"/>
              </w:rPr>
            </w:pPr>
          </w:p>
          <w:p>
            <w:pPr>
              <w:pStyle w:val="TableParagraph"/>
              <w:ind w:left="751"/>
              <w:rPr>
                <w:sz w:val="24"/>
              </w:rPr>
            </w:pPr>
            <w:hyperlink r:id="rId5">
              <w:r>
                <w:rPr>
                  <w:color w:val="878787"/>
                  <w:sz w:val="24"/>
                </w:rPr>
                <w:t>上一部：乾隆大藏经·西土圣贤撰集·无能胜大明心陀罗尼经一卷</w:t>
              </w:r>
            </w:hyperlink>
          </w:p>
          <w:p>
            <w:pPr>
              <w:pStyle w:val="TableParagraph"/>
              <w:spacing w:before="109"/>
              <w:ind w:left="751"/>
              <w:rPr>
                <w:sz w:val="24"/>
              </w:rPr>
            </w:pPr>
            <w:hyperlink r:id="rId6">
              <w:r>
                <w:rPr>
                  <w:color w:val="878787"/>
                  <w:sz w:val="24"/>
                </w:rPr>
                <w:t>下一部：乾隆大藏经·西土圣贤撰集·大乘修行菩萨行门诸经要集三卷</w:t>
              </w:r>
            </w:hyperlink>
          </w:p>
        </w:tc>
      </w:tr>
      <w:tr>
        <w:trPr>
          <w:trHeight w:val="428" w:hRule="atLeast"/>
        </w:trPr>
        <w:tc>
          <w:tcPr>
            <w:tcW w:w="10780" w:type="dxa"/>
            <w:gridSpan w:val="3"/>
            <w:shd w:val="clear" w:color="auto" w:fill="FF9933"/>
          </w:tcPr>
          <w:p>
            <w:pPr>
              <w:pStyle w:val="TableParagraph"/>
              <w:spacing w:before="54"/>
              <w:ind w:left="3089" w:right="3071"/>
              <w:jc w:val="center"/>
              <w:rPr>
                <w:sz w:val="24"/>
              </w:rPr>
            </w:pPr>
            <w:r>
              <w:rPr>
                <w:color w:val="DDDDDD"/>
                <w:sz w:val="24"/>
              </w:rPr>
              <w:t>乾隆大藏经·西土圣贤撰集·十不善业道经</w:t>
            </w:r>
          </w:p>
        </w:tc>
      </w:tr>
    </w:tbl>
    <w:p>
      <w:pPr>
        <w:rPr>
          <w:sz w:val="2"/>
          <w:szCs w:val="2"/>
        </w:rPr>
      </w:pPr>
      <w:r>
        <w:rPr/>
        <w:pict>
          <v:shape style="position:absolute;margin-left:62.637798pt;margin-top:527.960693pt;width:3.25pt;height:3.25pt;mso-position-horizontal-relative:page;mso-position-vertical-relative:page;z-index:-251735040" coordorigin="1253,10559" coordsize="65,65" path="m1285,10623l1271,10621,1261,10615,1255,10605,1253,10591,1255,10577,1261,10567,1271,10561,1285,10559,1299,10561,1309,10567,1315,10577,1317,10591,1315,10605,1309,10615,1299,10621,1285,10623xe" filled="true" fillcolor="#000000" stroked="false">
            <v:path arrowok="t"/>
            <v:fill type="solid"/>
            <w10:wrap type="none"/>
          </v:shape>
        </w:pict>
      </w:r>
      <w:r>
        <w:rPr/>
        <w:pict>
          <v:shape style="position:absolute;margin-left:62.637798pt;margin-top:548.784119pt;width:3.25pt;height:3.25pt;mso-position-horizontal-relative:page;mso-position-vertical-relative:page;z-index:-251734016" coordorigin="1253,10976" coordsize="65,65" path="m1285,11040l1271,11038,1261,11032,1255,11022,1253,11008,1255,10994,1261,10984,1271,10978,1285,10976,1299,10978,1309,10984,1315,10994,1317,11008,1315,11022,1309,11032,1299,11038,1285,11040xe" filled="true" fillcolor="#000000" stroked="false">
            <v:path arrowok="t"/>
            <v:fill type="solid"/>
            <w10:wrap type="none"/>
          </v:shape>
        </w:pict>
      </w:r>
    </w:p>
    <w:sectPr>
      <w:type w:val="continuous"/>
      <w:pgSz w:w="12240" w:h="15840"/>
      <w:pgMar w:top="70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10" w:hanging="369"/>
      </w:pPr>
      <w:rPr>
        <w:rFonts w:hint="default"/>
        <w:lang w:val="zh-CN" w:eastAsia="zh-CN" w:bidi="zh-CN"/>
      </w:rPr>
    </w:lvl>
    <w:lvl w:ilvl="2">
      <w:start w:val="0"/>
      <w:numFmt w:val="bullet"/>
      <w:lvlText w:val="•"/>
      <w:lvlJc w:val="left"/>
      <w:pPr>
        <w:ind w:left="1180" w:hanging="369"/>
      </w:pPr>
      <w:rPr>
        <w:rFonts w:hint="default"/>
        <w:lang w:val="zh-CN" w:eastAsia="zh-CN" w:bidi="zh-CN"/>
      </w:rPr>
    </w:lvl>
    <w:lvl w:ilvl="3">
      <w:start w:val="0"/>
      <w:numFmt w:val="bullet"/>
      <w:lvlText w:val="•"/>
      <w:lvlJc w:val="left"/>
      <w:pPr>
        <w:ind w:left="1451" w:hanging="369"/>
      </w:pPr>
      <w:rPr>
        <w:rFonts w:hint="default"/>
        <w:lang w:val="zh-CN" w:eastAsia="zh-CN" w:bidi="zh-CN"/>
      </w:rPr>
    </w:lvl>
    <w:lvl w:ilvl="4">
      <w:start w:val="0"/>
      <w:numFmt w:val="bullet"/>
      <w:lvlText w:val="•"/>
      <w:lvlJc w:val="left"/>
      <w:pPr>
        <w:ind w:left="1721" w:hanging="369"/>
      </w:pPr>
      <w:rPr>
        <w:rFonts w:hint="default"/>
        <w:lang w:val="zh-CN" w:eastAsia="zh-CN" w:bidi="zh-CN"/>
      </w:rPr>
    </w:lvl>
    <w:lvl w:ilvl="5">
      <w:start w:val="0"/>
      <w:numFmt w:val="bullet"/>
      <w:lvlText w:val="•"/>
      <w:lvlJc w:val="left"/>
      <w:pPr>
        <w:ind w:left="1992" w:hanging="369"/>
      </w:pPr>
      <w:rPr>
        <w:rFonts w:hint="default"/>
        <w:lang w:val="zh-CN" w:eastAsia="zh-CN" w:bidi="zh-CN"/>
      </w:rPr>
    </w:lvl>
    <w:lvl w:ilvl="6">
      <w:start w:val="0"/>
      <w:numFmt w:val="bullet"/>
      <w:lvlText w:val="•"/>
      <w:lvlJc w:val="left"/>
      <w:pPr>
        <w:ind w:left="2262" w:hanging="369"/>
      </w:pPr>
      <w:rPr>
        <w:rFonts w:hint="default"/>
        <w:lang w:val="zh-CN" w:eastAsia="zh-CN" w:bidi="zh-CN"/>
      </w:rPr>
    </w:lvl>
    <w:lvl w:ilvl="7">
      <w:start w:val="0"/>
      <w:numFmt w:val="bullet"/>
      <w:lvlText w:val="•"/>
      <w:lvlJc w:val="left"/>
      <w:pPr>
        <w:ind w:left="2532" w:hanging="369"/>
      </w:pPr>
      <w:rPr>
        <w:rFonts w:hint="default"/>
        <w:lang w:val="zh-CN" w:eastAsia="zh-CN" w:bidi="zh-CN"/>
      </w:rPr>
    </w:lvl>
    <w:lvl w:ilvl="8">
      <w:start w:val="0"/>
      <w:numFmt w:val="bullet"/>
      <w:lvlText w:val="•"/>
      <w:lvlJc w:val="left"/>
      <w:pPr>
        <w:ind w:left="2803"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71.htm" TargetMode="External"/><Relationship Id="rId6" Type="http://schemas.openxmlformats.org/officeDocument/2006/relationships/hyperlink" Target="http://qldzj.com/htmljw/137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2020-04-22T10:01:37Z</dcterms:created>
  <dcterms:modified xsi:type="dcterms:W3CDTF">2020-04-22T10:01:37Z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