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2"/>
        <w:gridCol w:w="1359"/>
        <w:gridCol w:w="3172"/>
        <w:gridCol w:w="3820"/>
      </w:tblGrid>
      <w:tr>
        <w:trPr>
          <w:trHeight w:val="748" w:hRule="atLeast"/>
        </w:trPr>
        <w:tc>
          <w:tcPr>
            <w:tcW w:w="3791"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西土圣贤撰集·第1433部</w:t>
            </w:r>
          </w:p>
        </w:tc>
        <w:tc>
          <w:tcPr>
            <w:tcW w:w="3172" w:type="dxa"/>
            <w:tcBorders>
              <w:top w:val="single" w:sz="8" w:space="0" w:color="000000"/>
              <w:bottom w:val="single" w:sz="8" w:space="0" w:color="000000"/>
            </w:tcBorders>
            <w:shd w:val="clear" w:color="auto" w:fill="FF9933"/>
          </w:tcPr>
          <w:p>
            <w:pPr>
              <w:pStyle w:val="TableParagraph"/>
              <w:spacing w:before="86"/>
              <w:ind w:left="628" w:right="584"/>
              <w:jc w:val="center"/>
              <w:rPr>
                <w:sz w:val="24"/>
              </w:rPr>
            </w:pPr>
            <w:r>
              <w:rPr>
                <w:color w:val="EDFFFF"/>
                <w:sz w:val="24"/>
              </w:rPr>
              <w:t>劝发诸王要偈一卷</w:t>
            </w:r>
          </w:p>
        </w:tc>
        <w:tc>
          <w:tcPr>
            <w:tcW w:w="3820"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10"/>
              <w:jc w:val="right"/>
              <w:rPr>
                <w:sz w:val="24"/>
              </w:rPr>
            </w:pPr>
            <w:r>
              <w:rPr>
                <w:color w:val="DDDDDD"/>
                <w:sz w:val="24"/>
              </w:rPr>
              <w:t>龙树菩萨撰宋天竺三藏僧伽</w:t>
            </w:r>
          </w:p>
          <w:p>
            <w:pPr>
              <w:pStyle w:val="TableParagraph"/>
              <w:spacing w:line="290" w:lineRule="exact"/>
              <w:ind w:right="310"/>
              <w:jc w:val="right"/>
              <w:rPr>
                <w:sz w:val="24"/>
              </w:rPr>
            </w:pPr>
            <w:r>
              <w:rPr>
                <w:color w:val="DDDDDD"/>
                <w:sz w:val="24"/>
              </w:rPr>
              <w:t>跋摩译</w:t>
            </w:r>
          </w:p>
        </w:tc>
      </w:tr>
      <w:tr>
        <w:trPr>
          <w:trHeight w:val="1149" w:hRule="atLeast"/>
        </w:trPr>
        <w:tc>
          <w:tcPr>
            <w:tcW w:w="2432" w:type="dxa"/>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p>
            <w:pPr>
              <w:pStyle w:val="TableParagraph"/>
              <w:spacing w:before="4"/>
              <w:rPr>
                <w:rFonts w:ascii="Times New Roman"/>
                <w:sz w:val="30"/>
              </w:rPr>
            </w:pPr>
          </w:p>
          <w:p>
            <w:pPr>
              <w:pStyle w:val="TableParagraph"/>
              <w:ind w:left="543"/>
              <w:rPr>
                <w:sz w:val="24"/>
              </w:rPr>
            </w:pPr>
            <w:r>
              <w:rPr>
                <w:color w:val="FF3300"/>
                <w:sz w:val="24"/>
              </w:rPr>
              <w:t>劝发诸王要偈</w:t>
            </w:r>
          </w:p>
        </w:tc>
        <w:tc>
          <w:tcPr>
            <w:tcW w:w="1359" w:type="dxa"/>
            <w:tcBorders>
              <w:top w:val="single" w:sz="8" w:space="0" w:color="000000"/>
              <w:bottom w:val="single" w:sz="8" w:space="0" w:color="000000"/>
            </w:tcBorders>
          </w:tcPr>
          <w:p>
            <w:pPr>
              <w:pStyle w:val="TableParagraph"/>
              <w:numPr>
                <w:ilvl w:val="0"/>
                <w:numId w:val="2"/>
              </w:numPr>
              <w:tabs>
                <w:tab w:pos="444" w:val="left" w:leader="none"/>
              </w:tabs>
              <w:spacing w:line="240" w:lineRule="auto" w:before="86" w:after="0"/>
              <w:ind w:left="443" w:right="0" w:hanging="369"/>
              <w:jc w:val="left"/>
              <w:rPr>
                <w:sz w:val="24"/>
              </w:rPr>
            </w:pPr>
            <w:r>
              <w:rPr>
                <w:color w:val="FF3300"/>
                <w:sz w:val="24"/>
              </w:rPr>
              <w:t>跋序</w:t>
            </w:r>
          </w:p>
        </w:tc>
        <w:tc>
          <w:tcPr>
            <w:tcW w:w="3172" w:type="dxa"/>
            <w:tcBorders>
              <w:top w:val="single" w:sz="8" w:space="0" w:color="000000"/>
              <w:bottom w:val="single" w:sz="8" w:space="0" w:color="000000"/>
            </w:tcBorders>
          </w:tcPr>
          <w:p>
            <w:pPr>
              <w:pStyle w:val="TableParagraph"/>
              <w:numPr>
                <w:ilvl w:val="0"/>
                <w:numId w:val="3"/>
              </w:numPr>
              <w:tabs>
                <w:tab w:pos="472" w:val="left" w:leader="none"/>
              </w:tabs>
              <w:spacing w:line="290" w:lineRule="exact" w:before="86" w:after="0"/>
              <w:ind w:left="471"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3"/>
              </w:numPr>
              <w:tabs>
                <w:tab w:pos="472" w:val="left" w:leader="none"/>
              </w:tabs>
              <w:spacing w:line="290" w:lineRule="exact" w:before="0" w:after="0"/>
              <w:ind w:left="471" w:right="0" w:hanging="369"/>
              <w:jc w:val="left"/>
              <w:rPr>
                <w:sz w:val="24"/>
              </w:rPr>
            </w:pPr>
            <w:r>
              <w:rPr>
                <w:color w:val="993300"/>
                <w:sz w:val="24"/>
              </w:rPr>
              <w:t>译作者</w:t>
            </w:r>
          </w:p>
        </w:tc>
        <w:tc>
          <w:tcPr>
            <w:tcW w:w="3820" w:type="dxa"/>
            <w:tcBorders>
              <w:top w:val="single" w:sz="8" w:space="0" w:color="000000"/>
              <w:bottom w:val="single" w:sz="8" w:space="0" w:color="000000"/>
              <w:right w:val="single" w:sz="8" w:space="0" w:color="000000"/>
            </w:tcBorders>
          </w:tcPr>
          <w:p>
            <w:pPr>
              <w:pStyle w:val="TableParagraph"/>
              <w:spacing w:line="213" w:lineRule="auto" w:before="113"/>
              <w:ind w:left="2244" w:right="362"/>
              <w:rPr>
                <w:sz w:val="24"/>
              </w:rPr>
            </w:pPr>
            <w:r>
              <w:rPr>
                <w:sz w:val="24"/>
              </w:rPr>
              <w:t>字体：</w:t>
            </w:r>
            <w:r>
              <w:rPr>
                <w:color w:val="FF3300"/>
                <w:sz w:val="24"/>
              </w:rPr>
              <w:t>大号中号 小号</w:t>
            </w:r>
          </w:p>
        </w:tc>
      </w:tr>
      <w:tr>
        <w:trPr>
          <w:trHeight w:val="712" w:hRule="atLeast"/>
        </w:trPr>
        <w:tc>
          <w:tcPr>
            <w:tcW w:w="2432" w:type="dxa"/>
            <w:tcBorders>
              <w:top w:val="single" w:sz="8" w:space="0" w:color="000000"/>
              <w:left w:val="single" w:sz="8" w:space="0" w:color="000000"/>
            </w:tcBorders>
          </w:tcPr>
          <w:p>
            <w:pPr>
              <w:pStyle w:val="TableParagraph"/>
              <w:rPr>
                <w:rFonts w:ascii="Times New Roman"/>
                <w:sz w:val="24"/>
              </w:rPr>
            </w:pPr>
          </w:p>
        </w:tc>
        <w:tc>
          <w:tcPr>
            <w:tcW w:w="1359" w:type="dxa"/>
            <w:tcBorders>
              <w:top w:val="single" w:sz="8" w:space="0" w:color="000000"/>
            </w:tcBorders>
          </w:tcPr>
          <w:p>
            <w:pPr>
              <w:pStyle w:val="TableParagraph"/>
              <w:rPr>
                <w:rFonts w:ascii="Times New Roman"/>
                <w:sz w:val="24"/>
              </w:rPr>
            </w:pPr>
          </w:p>
        </w:tc>
        <w:tc>
          <w:tcPr>
            <w:tcW w:w="3172" w:type="dxa"/>
            <w:tcBorders>
              <w:top w:val="single" w:sz="8" w:space="0" w:color="000000"/>
            </w:tcBorders>
          </w:tcPr>
          <w:p>
            <w:pPr>
              <w:pStyle w:val="TableParagraph"/>
              <w:spacing w:before="5"/>
              <w:rPr>
                <w:rFonts w:ascii="Times New Roman"/>
                <w:sz w:val="21"/>
              </w:rPr>
            </w:pPr>
          </w:p>
          <w:p>
            <w:pPr>
              <w:pStyle w:val="TableParagraph"/>
              <w:ind w:left="628" w:right="584"/>
              <w:jc w:val="center"/>
              <w:rPr>
                <w:sz w:val="24"/>
              </w:rPr>
            </w:pPr>
            <w:r>
              <w:rPr>
                <w:color w:val="FF3300"/>
                <w:sz w:val="24"/>
              </w:rPr>
              <w:t>劝发诸王要偈</w:t>
            </w:r>
          </w:p>
        </w:tc>
        <w:tc>
          <w:tcPr>
            <w:tcW w:w="3820"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432" w:type="dxa"/>
            <w:tcBorders>
              <w:left w:val="single" w:sz="8" w:space="0" w:color="000000"/>
            </w:tcBorders>
          </w:tcPr>
          <w:p>
            <w:pPr>
              <w:pStyle w:val="TableParagraph"/>
              <w:spacing w:before="142"/>
              <w:ind w:right="410"/>
              <w:jc w:val="right"/>
              <w:rPr>
                <w:sz w:val="24"/>
              </w:rPr>
            </w:pPr>
            <w:r>
              <w:rPr>
                <w:sz w:val="24"/>
              </w:rPr>
              <w:t>明胜功德王</w:t>
            </w:r>
          </w:p>
        </w:tc>
        <w:tc>
          <w:tcPr>
            <w:tcW w:w="1359" w:type="dxa"/>
          </w:tcPr>
          <w:p>
            <w:pPr>
              <w:pStyle w:val="TableParagraph"/>
              <w:spacing w:before="142"/>
              <w:ind w:left="68"/>
              <w:rPr>
                <w:sz w:val="24"/>
              </w:rPr>
            </w:pPr>
            <w:r>
              <w:rPr>
                <w:sz w:val="24"/>
              </w:rPr>
              <w:t>我无余求想</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诸佛所说法</w:t>
            </w:r>
          </w:p>
        </w:tc>
        <w:tc>
          <w:tcPr>
            <w:tcW w:w="1359" w:type="dxa"/>
          </w:tcPr>
          <w:p>
            <w:pPr>
              <w:pStyle w:val="TableParagraph"/>
              <w:spacing w:before="70"/>
              <w:ind w:left="68"/>
              <w:rPr>
                <w:sz w:val="24"/>
              </w:rPr>
            </w:pPr>
            <w:r>
              <w:rPr>
                <w:sz w:val="24"/>
              </w:rPr>
              <w:t>庄严要何义</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略撰贤圣颂</w:t>
            </w:r>
          </w:p>
        </w:tc>
        <w:tc>
          <w:tcPr>
            <w:tcW w:w="1359" w:type="dxa"/>
          </w:tcPr>
          <w:p>
            <w:pPr>
              <w:pStyle w:val="TableParagraph"/>
              <w:spacing w:before="70"/>
              <w:ind w:left="68"/>
              <w:rPr>
                <w:sz w:val="24"/>
              </w:rPr>
            </w:pPr>
            <w:r>
              <w:rPr>
                <w:sz w:val="24"/>
              </w:rPr>
              <w:t>大王所宜闻</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如以众杂木</w:t>
            </w:r>
          </w:p>
        </w:tc>
        <w:tc>
          <w:tcPr>
            <w:tcW w:w="1359" w:type="dxa"/>
          </w:tcPr>
          <w:p>
            <w:pPr>
              <w:pStyle w:val="TableParagraph"/>
              <w:spacing w:before="70"/>
              <w:ind w:left="68"/>
              <w:rPr>
                <w:sz w:val="24"/>
              </w:rPr>
            </w:pPr>
            <w:r>
              <w:rPr>
                <w:sz w:val="24"/>
              </w:rPr>
              <w:t>造立如来像</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智者恭敬礼</w:t>
            </w:r>
          </w:p>
        </w:tc>
        <w:tc>
          <w:tcPr>
            <w:tcW w:w="1359" w:type="dxa"/>
          </w:tcPr>
          <w:p>
            <w:pPr>
              <w:pStyle w:val="TableParagraph"/>
              <w:spacing w:before="70"/>
              <w:ind w:left="68"/>
              <w:rPr>
                <w:sz w:val="24"/>
              </w:rPr>
            </w:pPr>
            <w:r>
              <w:rPr>
                <w:sz w:val="24"/>
              </w:rPr>
              <w:t>依佛故尊视</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我今以非辩</w:t>
            </w:r>
          </w:p>
        </w:tc>
        <w:tc>
          <w:tcPr>
            <w:tcW w:w="1359" w:type="dxa"/>
          </w:tcPr>
          <w:p>
            <w:pPr>
              <w:pStyle w:val="TableParagraph"/>
              <w:spacing w:before="70"/>
              <w:ind w:left="68"/>
              <w:rPr>
                <w:sz w:val="24"/>
              </w:rPr>
            </w:pPr>
            <w:r>
              <w:rPr>
                <w:sz w:val="24"/>
              </w:rPr>
              <w:t>光宣真实藏</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慧者应信乐</w:t>
            </w:r>
          </w:p>
        </w:tc>
        <w:tc>
          <w:tcPr>
            <w:tcW w:w="1359" w:type="dxa"/>
          </w:tcPr>
          <w:p>
            <w:pPr>
              <w:pStyle w:val="TableParagraph"/>
              <w:spacing w:before="70"/>
              <w:ind w:left="68"/>
              <w:rPr>
                <w:sz w:val="24"/>
              </w:rPr>
            </w:pPr>
            <w:r>
              <w:rPr>
                <w:sz w:val="24"/>
              </w:rPr>
              <w:t>依法听所述</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大王虽数闻</w:t>
            </w:r>
          </w:p>
        </w:tc>
        <w:tc>
          <w:tcPr>
            <w:tcW w:w="1359" w:type="dxa"/>
          </w:tcPr>
          <w:p>
            <w:pPr>
              <w:pStyle w:val="TableParagraph"/>
              <w:spacing w:before="70"/>
              <w:ind w:left="68"/>
              <w:rPr>
                <w:sz w:val="24"/>
              </w:rPr>
            </w:pPr>
            <w:r>
              <w:rPr>
                <w:sz w:val="24"/>
              </w:rPr>
              <w:t>如来梵音说</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胜悟由多闻</w:t>
            </w:r>
          </w:p>
        </w:tc>
        <w:tc>
          <w:tcPr>
            <w:tcW w:w="1359" w:type="dxa"/>
          </w:tcPr>
          <w:p>
            <w:pPr>
              <w:pStyle w:val="TableParagraph"/>
              <w:spacing w:before="70"/>
              <w:ind w:left="68"/>
              <w:rPr>
                <w:sz w:val="24"/>
              </w:rPr>
            </w:pPr>
            <w:r>
              <w:rPr>
                <w:sz w:val="24"/>
              </w:rPr>
              <w:t>屡闻则深信</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如日照素质</w:t>
            </w:r>
          </w:p>
        </w:tc>
        <w:tc>
          <w:tcPr>
            <w:tcW w:w="1359" w:type="dxa"/>
          </w:tcPr>
          <w:p>
            <w:pPr>
              <w:pStyle w:val="TableParagraph"/>
              <w:spacing w:before="70"/>
              <w:ind w:left="68"/>
              <w:rPr>
                <w:sz w:val="24"/>
              </w:rPr>
            </w:pPr>
            <w:r>
              <w:rPr>
                <w:sz w:val="24"/>
              </w:rPr>
              <w:t>岂不增其鲜</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三宝施戒天</w:t>
            </w:r>
          </w:p>
        </w:tc>
        <w:tc>
          <w:tcPr>
            <w:tcW w:w="1359" w:type="dxa"/>
          </w:tcPr>
          <w:p>
            <w:pPr>
              <w:pStyle w:val="TableParagraph"/>
              <w:spacing w:before="70"/>
              <w:ind w:left="68"/>
              <w:rPr>
                <w:sz w:val="24"/>
              </w:rPr>
            </w:pPr>
            <w:r>
              <w:rPr>
                <w:sz w:val="24"/>
              </w:rPr>
              <w:t>最胜说六念</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随顺诸功德</w:t>
            </w:r>
          </w:p>
        </w:tc>
        <w:tc>
          <w:tcPr>
            <w:tcW w:w="1359" w:type="dxa"/>
          </w:tcPr>
          <w:p>
            <w:pPr>
              <w:pStyle w:val="TableParagraph"/>
              <w:spacing w:before="70"/>
              <w:ind w:left="68"/>
              <w:rPr>
                <w:sz w:val="24"/>
              </w:rPr>
            </w:pPr>
            <w:r>
              <w:rPr>
                <w:sz w:val="24"/>
              </w:rPr>
              <w:t>如实善观察</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身口意常行</w:t>
            </w:r>
          </w:p>
        </w:tc>
        <w:tc>
          <w:tcPr>
            <w:tcW w:w="1359" w:type="dxa"/>
          </w:tcPr>
          <w:p>
            <w:pPr>
              <w:pStyle w:val="TableParagraph"/>
              <w:spacing w:before="70"/>
              <w:ind w:left="68"/>
              <w:rPr>
                <w:sz w:val="24"/>
              </w:rPr>
            </w:pPr>
            <w:r>
              <w:rPr>
                <w:sz w:val="24"/>
              </w:rPr>
              <w:t>清净十业道</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远酒不醉乱</w:t>
            </w:r>
          </w:p>
        </w:tc>
        <w:tc>
          <w:tcPr>
            <w:tcW w:w="1359" w:type="dxa"/>
          </w:tcPr>
          <w:p>
            <w:pPr>
              <w:pStyle w:val="TableParagraph"/>
              <w:spacing w:before="70"/>
              <w:ind w:left="68"/>
              <w:rPr>
                <w:sz w:val="24"/>
              </w:rPr>
            </w:pPr>
            <w:r>
              <w:rPr>
                <w:sz w:val="24"/>
              </w:rPr>
              <w:t>离邪修正命</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知财五家分</w:t>
            </w:r>
          </w:p>
        </w:tc>
        <w:tc>
          <w:tcPr>
            <w:tcW w:w="1359" w:type="dxa"/>
          </w:tcPr>
          <w:p>
            <w:pPr>
              <w:pStyle w:val="TableParagraph"/>
              <w:spacing w:before="70"/>
              <w:ind w:left="68"/>
              <w:rPr>
                <w:sz w:val="24"/>
              </w:rPr>
            </w:pPr>
            <w:r>
              <w:rPr>
                <w:sz w:val="24"/>
              </w:rPr>
              <w:t>无常不牢固</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惠施诸有德</w:t>
            </w:r>
          </w:p>
        </w:tc>
        <w:tc>
          <w:tcPr>
            <w:tcW w:w="1359" w:type="dxa"/>
          </w:tcPr>
          <w:p>
            <w:pPr>
              <w:pStyle w:val="TableParagraph"/>
              <w:spacing w:before="70"/>
              <w:ind w:left="68"/>
              <w:rPr>
                <w:sz w:val="24"/>
              </w:rPr>
            </w:pPr>
            <w:r>
              <w:rPr>
                <w:sz w:val="24"/>
              </w:rPr>
              <w:t>贫苦及亲属</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所生常随逐</w:t>
            </w:r>
          </w:p>
        </w:tc>
        <w:tc>
          <w:tcPr>
            <w:tcW w:w="1359" w:type="dxa"/>
          </w:tcPr>
          <w:p>
            <w:pPr>
              <w:pStyle w:val="TableParagraph"/>
              <w:spacing w:before="70"/>
              <w:ind w:left="68"/>
              <w:rPr>
                <w:sz w:val="24"/>
              </w:rPr>
            </w:pPr>
            <w:r>
              <w:rPr>
                <w:sz w:val="24"/>
              </w:rPr>
              <w:t>布施为最胜</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不断亦不灭</w:t>
            </w:r>
          </w:p>
        </w:tc>
        <w:tc>
          <w:tcPr>
            <w:tcW w:w="1359" w:type="dxa"/>
          </w:tcPr>
          <w:p>
            <w:pPr>
              <w:pStyle w:val="TableParagraph"/>
              <w:spacing w:before="70"/>
              <w:ind w:left="68"/>
              <w:rPr>
                <w:sz w:val="24"/>
              </w:rPr>
            </w:pPr>
            <w:r>
              <w:rPr>
                <w:sz w:val="24"/>
              </w:rPr>
              <w:t>不离不望果</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如是诸净戒</w:t>
            </w:r>
          </w:p>
        </w:tc>
        <w:tc>
          <w:tcPr>
            <w:tcW w:w="1359" w:type="dxa"/>
          </w:tcPr>
          <w:p>
            <w:pPr>
              <w:pStyle w:val="TableParagraph"/>
              <w:spacing w:before="70"/>
              <w:ind w:left="68"/>
              <w:rPr>
                <w:sz w:val="24"/>
              </w:rPr>
            </w:pPr>
            <w:r>
              <w:rPr>
                <w:sz w:val="24"/>
              </w:rPr>
              <w:t>宜应善受持</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是则为良田</w:t>
            </w:r>
          </w:p>
        </w:tc>
        <w:tc>
          <w:tcPr>
            <w:tcW w:w="1359" w:type="dxa"/>
          </w:tcPr>
          <w:p>
            <w:pPr>
              <w:pStyle w:val="TableParagraph"/>
              <w:spacing w:before="70"/>
              <w:ind w:left="68"/>
              <w:rPr>
                <w:sz w:val="24"/>
              </w:rPr>
            </w:pPr>
            <w:r>
              <w:rPr>
                <w:sz w:val="24"/>
              </w:rPr>
              <w:t>生诸功德故</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施戒忍精进</w:t>
            </w:r>
          </w:p>
        </w:tc>
        <w:tc>
          <w:tcPr>
            <w:tcW w:w="1359" w:type="dxa"/>
          </w:tcPr>
          <w:p>
            <w:pPr>
              <w:pStyle w:val="TableParagraph"/>
              <w:spacing w:before="70"/>
              <w:ind w:left="68"/>
              <w:rPr>
                <w:sz w:val="24"/>
              </w:rPr>
            </w:pPr>
            <w:r>
              <w:rPr>
                <w:sz w:val="24"/>
              </w:rPr>
              <w:t>禅定无量慧</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是诸波罗蜜</w:t>
            </w:r>
          </w:p>
        </w:tc>
        <w:tc>
          <w:tcPr>
            <w:tcW w:w="1359" w:type="dxa"/>
          </w:tcPr>
          <w:p>
            <w:pPr>
              <w:pStyle w:val="TableParagraph"/>
              <w:spacing w:before="70"/>
              <w:ind w:left="68"/>
              <w:rPr>
                <w:sz w:val="24"/>
              </w:rPr>
            </w:pPr>
            <w:r>
              <w:rPr>
                <w:sz w:val="24"/>
              </w:rPr>
              <w:t>慧者当修习</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能度三有海</w:t>
            </w:r>
          </w:p>
        </w:tc>
        <w:tc>
          <w:tcPr>
            <w:tcW w:w="1359" w:type="dxa"/>
          </w:tcPr>
          <w:p>
            <w:pPr>
              <w:pStyle w:val="TableParagraph"/>
              <w:spacing w:before="70"/>
              <w:ind w:left="68"/>
              <w:rPr>
                <w:sz w:val="24"/>
              </w:rPr>
            </w:pPr>
            <w:r>
              <w:rPr>
                <w:sz w:val="24"/>
              </w:rPr>
              <w:t>逮得牟尼尊</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若人孝父母</w:t>
            </w:r>
          </w:p>
        </w:tc>
        <w:tc>
          <w:tcPr>
            <w:tcW w:w="1359" w:type="dxa"/>
          </w:tcPr>
          <w:p>
            <w:pPr>
              <w:pStyle w:val="TableParagraph"/>
              <w:spacing w:before="70"/>
              <w:ind w:left="68"/>
              <w:rPr>
                <w:sz w:val="24"/>
              </w:rPr>
            </w:pPr>
            <w:r>
              <w:rPr>
                <w:sz w:val="24"/>
              </w:rPr>
              <w:t>至心尽供养</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r>
        <w:trPr>
          <w:trHeight w:val="686" w:hRule="atLeast"/>
        </w:trPr>
        <w:tc>
          <w:tcPr>
            <w:tcW w:w="2432" w:type="dxa"/>
            <w:tcBorders>
              <w:left w:val="single" w:sz="8" w:space="0" w:color="000000"/>
            </w:tcBorders>
          </w:tcPr>
          <w:p>
            <w:pPr>
              <w:pStyle w:val="TableParagraph"/>
              <w:spacing w:before="70"/>
              <w:ind w:right="410"/>
              <w:jc w:val="right"/>
              <w:rPr>
                <w:sz w:val="24"/>
              </w:rPr>
            </w:pPr>
            <w:r>
              <w:rPr>
                <w:sz w:val="24"/>
              </w:rPr>
              <w:t>是名礼教门</w:t>
            </w:r>
          </w:p>
        </w:tc>
        <w:tc>
          <w:tcPr>
            <w:tcW w:w="1359" w:type="dxa"/>
          </w:tcPr>
          <w:p>
            <w:pPr>
              <w:pStyle w:val="TableParagraph"/>
              <w:spacing w:before="70"/>
              <w:ind w:left="68"/>
              <w:rPr>
                <w:sz w:val="24"/>
              </w:rPr>
            </w:pPr>
            <w:r>
              <w:rPr>
                <w:sz w:val="24"/>
              </w:rPr>
              <w:t>清净天胜族</w:t>
            </w:r>
          </w:p>
        </w:tc>
        <w:tc>
          <w:tcPr>
            <w:tcW w:w="3172" w:type="dxa"/>
          </w:tcPr>
          <w:p>
            <w:pPr>
              <w:pStyle w:val="TableParagraph"/>
              <w:rPr>
                <w:rFonts w:ascii="Times New Roman"/>
                <w:sz w:val="24"/>
              </w:rPr>
            </w:pPr>
          </w:p>
        </w:tc>
        <w:tc>
          <w:tcPr>
            <w:tcW w:w="3820"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spacing w:val="-2"/>
        </w:rPr>
        <w:t>名闻远流布   舍身生天上离杀盗淫欺   饮酒及三枝成就八分齐   随顺诸佛学舍身生六天   所欲悉随意悭谄幻伪慢   懈怠贪恚痴族姓好容色   少壮多闻乐如是诸迷惑   当视如怨家若修不放逸   是则不死路放逸为死径   世尊之所说为增善法故   当修不放逸若人先为恶   后能不放逸是则照世间   云除月光显忍辱无与等   不随嗔恚心佛说能远离   是得不还道有嗔如画水   或如画土石若说超烦恼   初人则为胜</w:t>
      </w:r>
      <w:r>
        <w:rPr>
          <w:spacing w:val="-1"/>
        </w:rPr>
        <w:t>改恶修慈忍    第三则为上</w:t>
      </w:r>
    </w:p>
    <w:p>
      <w:pPr>
        <w:pStyle w:val="BodyText"/>
        <w:spacing w:line="362" w:lineRule="auto" w:before="164"/>
      </w:pPr>
      <w:r>
        <w:rPr>
          <w:spacing w:val="-2"/>
        </w:rPr>
        <w:t>最胜说众生   三种善恶语初名引人心   美言如饴蜜次名真实语   犹如妙华敷后名不诚实   鄙浮如粪秽慧者应分别   舍后修初二从明明至终   从闇闇究竟有从闇入明   或从明入冥慧者应谛了   舍三升初明有人生似熟   或复熟似生或二俱生熟   明者谛分别不视他妻色   视则母女想如是犹生惑   当修不净观心意善驰乱   当勤善守持</w:t>
      </w:r>
      <w:r>
        <w:rPr>
          <w:spacing w:val="-1"/>
        </w:rPr>
        <w:t>如人护胜闻    宝藏爱子命</w:t>
      </w:r>
    </w:p>
    <w:p>
      <w:pPr>
        <w:spacing w:after="0" w:line="362" w:lineRule="auto"/>
        <w:sectPr>
          <w:pgSz w:w="12240" w:h="15840"/>
          <w:pgMar w:top="580" w:bottom="280" w:left="580" w:right="640"/>
        </w:sectPr>
      </w:pPr>
    </w:p>
    <w:p>
      <w:pPr>
        <w:pStyle w:val="BodyText"/>
        <w:spacing w:line="362" w:lineRule="auto"/>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spacing w:val="-2"/>
        </w:rPr>
        <w:t>当观五欲乐   犹如恶毒蛇怨憎及刀火   方便修厌离五欲生非义   犹如频婆果覆相善欺诳   缚人住生死智者当观察   弃舍勿染污诸根常轻躁   驰散六尘境若能善调伏   是则大勇健是身为行厕   九道常流秽穿漏难可满   薄皮隐不净</w:t>
      </w:r>
      <w:r>
        <w:rPr>
          <w:spacing w:val="-1"/>
        </w:rPr>
        <w:t>愚者为所欺    智士当厌离</w:t>
      </w:r>
    </w:p>
    <w:p>
      <w:pPr>
        <w:pStyle w:val="BodyText"/>
        <w:spacing w:line="362" w:lineRule="auto" w:before="163"/>
      </w:pPr>
      <w:r>
        <w:rPr>
          <w:spacing w:val="-2"/>
        </w:rPr>
        <w:t>如人病疥虫   向火欲除患少乐后苦增   贪欲亦如是能善知欲过   从是离众苦欲见第一义   佛说观缘起应当勤修习   最胜无过是族姓身端严   多闻自缨络若不修戒慧   此则非殊胜能具二功德   无三犹奇特利衰及毁誉   称讥与苦乐八法不倾动   是则为圣王莫为诸天神   沙门婆罗门宗亲及宾客   害生造恶业命终入地狱   独受彼不代若人作恶业   不即受楚毒命终受苦报   后悔将何及信戒施多闻   智慧有惭愧佛说不共财   余财一切共博弈大聚会   懒惰习恶友饮酒纵昏荡   夜游无羞耻</w:t>
      </w:r>
      <w:r>
        <w:rPr>
          <w:spacing w:val="-1"/>
        </w:rPr>
        <w:t>此六污名称    智者应远离</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知足为大财   世尊所称说若能修知足   虽贫贱大富譬如多头龙   多头则多苦自性结恨深   是名怨家妇傲慢不承顺   名为轻夫妇费用夫主财   是则名贼妇慎哉贤丈夫   宜远此三妇随顺为姊妹   爱乐为善友安慰则为母   随意为婢使此四贤良妻   则是夫眷属饮食为汤药   无贪恚痴服唯为止身苦   勿为肥放逸昼则勤修业   初后夜亦然中夜亦正念   无令空梦过慈悲喜舍心   日夜常修习设未出世间   其福胜梵天离欲觉欢喜   苦乐修四禅梵光净果实   受此诸天乐若人少行恶   广修无量善如以一把盐   投之大恒水若人多行恶   少修净功德如以多恶毒   置之小器食五阴闇冥贼   劫人善珍宝信五根力士   是能善守护生老病死苦   所爱者别离沦没不超度   斯由自业过求生天解脱   当勤修正见邪见虽行善   一切得苦果无常苦不净   应当善观察若不正思惟   四倒盲慧眼端正色非我 我色亦非主</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四阴亦复然   唯是空苦聚非时非无因   亦非自性有非自在天生   无明爱业起身见戒取疑   是三障解脱圣慧开脱门   自力不由他净戒学禅定   精勤修四禅增上戒心慧   常当勤修学诸戒智三昧   悉入三学中身念处大力   佛说一乘道常当系心念   方便善守护若忘是正念   则失诸善法身命极浮脆   喻风吹水泡梦觉难可保   出息无必旋倏忽成微尘   当知无坚固大地须弥海   七日皆烧然廓然无遗烬   况复危脆身无常不可依   亦非覆护法是身不可怙   如何不生厌譬如海盲龟   值遇浮木孔畜生复人身   难得复过是如何人道中   不修胜果业宝器盛粪秽   是则愚痴人已得人身宝   而用造恶行当知此士夫   极愚复过是得生有道国   遭遇善知识正见心成就   宿命有功德四宝轮具足   能出生死路亲近善知识   具足修梵行佛说如是人   心常得寂灭邪见三恶趣   不闻佛法音边地闇冥处 聋哑长寿天</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王已离八难   得此无碍身宜应修善业   方便求泥洹生死长夜中   无量种种苦展转作六亲   尊卑无常序永劫生死中   未曾不为子计饮慈母乳   量喻四大海凡夫方受生   所饮复过是一人从本来   积骨高须弥所经诸人天   大地微尘数先作转轮王   后复为仆使或上为帝释   诸天所奉事下生粪土中   往反亦无数或时生天上   婇女极娱乐目眩众妙色   耳闻万种声触身皆细软   快乐难可名后堕地狱中   苦毒靡不经若生剑林树   身首随刃零或游须弥顶   升降随所念与众天女俱   沐浴曼陀池宝华列庄严   清凉极快乐复入沸灰河   烹煮悉糜烂六天五欲欢   梵世离欲乐死入无择狱   备受众苦毒或作日月天   光明照四域后生黑闇狱   不自见其形王当然慧灯   勿复随长冥八大地狱中   烧炙屠裂苦备经众楚毒   无量不可譬若人随痴惑   具造众恶业出息未反间   闻是诸大苦其心不惊怖 是则木石人</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spacing w:val="-2"/>
        </w:rPr>
        <w:t>眼见报应像   复闻智者说彼采佛经典   内心正思惟则应大怖畏   何况身自经一切受苦中   无择最大苦一切受乐中   爱尽第一乐日夜各三时   三百枪贯身欲比无择苦   百千倍非譬无量诸楚毒   求死不可得受罪百千岁   恶业尽乃毕不净苦果报   身口业为种不种则不有   王宜断苦本若堕畜生趣   系缚杀害苦贪害狂乱心   怨结更相食或为取珠宝   毛尾皮肉骨由是丧身命   解剥断截痛骏足有大力   穿颈服乘苦狂逸不调驯   策勒而榜楚饿鬼思饮食   所念未曾有饥渴寒热迫   长夜无休息或身如大山   咽口若针锋饥渴内烧燃   对食食无从或见粪脓唾   群走竞驰趣到则自然灭   望绝增苦恼饥渴煎其内   瘤瘿发痈疽更共相撮搏   龃齰唼脓血羸疮皮骨连   裸形被长发身长若枯木   炽焰从口出</w:t>
      </w:r>
      <w:r>
        <w:rPr>
          <w:spacing w:val="-1"/>
        </w:rPr>
        <w:t>还自焚其身    状烧多罗树</w:t>
      </w:r>
    </w:p>
    <w:p>
      <w:pPr>
        <w:pStyle w:val="BodyText"/>
        <w:spacing w:line="362" w:lineRule="auto" w:before="166"/>
      </w:pPr>
      <w:r>
        <w:rPr>
          <w:spacing w:val="-2"/>
        </w:rPr>
        <w:t>处夏希夜凉   月光增其热在冬思昼温   日出逾冰结</w:t>
      </w:r>
      <w:r>
        <w:rPr>
          <w:spacing w:val="-1"/>
        </w:rPr>
        <w:t>向树果即消    趣河水辄竭</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经万五千岁   业持命不绝久受无量苦   斯由宿罪缘种种诸恼逼   纯苦初无间贪惜极悭着   佛说饿鬼因生天虽快乐   福尽极大苦斯非贤圣果   慧者所不怙身体不光泽   不乐本所座华冠卒萎落   尘垢忽着身腋下流汗汁   当知死时至善趣净业尽   复堕三恶道或生阿修罗   贪嫉常苦恼虽有智聪明   终不见真谛生死六趣中   轮转常不息胜法不受生   生者众苦器假令顶火然   正意慎勿念不受后有业   专心勤修习戒品禅定慧   寂静调不动当求涅槃道   究竟离生死念择及精进   喜猗三昧舍此七菩提分   清净甘露道无智则不禅   无禅亦不智是二俱成就   能出生死流无边大苦海   视如牛迹水十四无记论   佛说不应思是非安隐道   亦非寂灭处无明缘诸行   即缘彼生识名色从识起   六入因名色六入生六触   从触起诸受诸受为爱因   从爱生四取四取生三有   因有爱后生从生致老死 忧悲诸苦恼</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无量众苦聚   生尽则都灭最胜所显示   甚深缘起法若能正观察   真实见之上如是真实见   是则为见佛正见正思惟   正语正业命正念正方便   及正三摩提八分圣贤道   寂灭当修习生为真谛苦   恩爱则是集苦灭名解脱   到彼谓八道为见彼真谛   常勤修正智虽处五欲乐   慧者能出离能证正法者   皆从凡夫起不从虚空堕   亦不从地出明哲无畏王   领要不待烦宜修正法桥   越度生死渊如上诸深法   出家犹难精况复御世主   而能具足行随时渐修习   勿令日空过一切人修善   常生随喜心自行三种业   正回向佛道当于未来世   受此无量福常生天人中   得为自在王与大菩萨众   游戏诸神通方便化众生   严净佛国土施戒慧为种   往返人天中无垢净名称   流布十方国世间导人主   上生化天王令舍五欲乐   远离诸放逸众生迷正济   漂浪随四流无量生死苦   度令至彼岸缘此成佛道 究竟大涅槃</w:t>
      </w:r>
    </w:p>
    <w:p>
      <w:pPr>
        <w:spacing w:after="0" w:line="362" w:lineRule="auto"/>
        <w:sectPr>
          <w:pgSz w:w="12240" w:h="15840"/>
          <w:pgMar w:top="580" w:bottom="280" w:left="580" w:right="640"/>
        </w:sectPr>
      </w:pPr>
    </w:p>
    <w:p>
      <w:pPr>
        <w:pStyle w:val="BodyText"/>
        <w:spacing w:before="3"/>
        <w:ind w:left="0" w:right="0"/>
        <w:jc w:val="left"/>
        <w:rPr>
          <w:sz w:val="10"/>
        </w:rPr>
      </w:pPr>
    </w:p>
    <w:p>
      <w:pPr>
        <w:pStyle w:val="BodyText"/>
        <w:spacing w:before="67"/>
        <w:ind w:left="873" w:right="0"/>
        <w:jc w:val="left"/>
      </w:pPr>
      <w:r>
        <w:rPr/>
        <w:pict>
          <v:line style="position:absolute;mso-position-horizontal-relative:page;mso-position-vertical-relative:paragraph;z-index:251675648" from="574.012451pt,-6.556448pt" to="574.012451pt,69.811022pt" stroked="true" strokeweight=".80090pt" strokecolor="#000000">
            <v:stroke dashstyle="solid"/>
            <w10:wrap type="none"/>
          </v:line>
        </w:pict>
      </w:r>
      <w:r>
        <w:rPr/>
        <w:pict>
          <v:line style="position:absolute;mso-position-horizontal-relative:page;mso-position-vertical-relative:paragraph;z-index:251676672" from="35.006748pt,-6.556448pt" to="35.006748pt,69.811022pt" stroked="true" strokeweight=".80090pt" strokecolor="#000000">
            <v:stroke dashstyle="solid"/>
            <w10:wrap type="none"/>
          </v:line>
        </w:pict>
      </w:r>
      <w:r>
        <w:rPr/>
        <w:pict>
          <v:shape style="position:absolute;margin-left:62.637798pt;margin-top:10.544423pt;width:3.25pt;height:3.25pt;mso-position-horizontal-relative:page;mso-position-vertical-relative:paragraph;z-index:251677696"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上一部：乾隆大藏经·西土圣贤撰集·法集要颂经四卷</w:t>
        </w:r>
      </w:hyperlink>
    </w:p>
    <w:p>
      <w:pPr>
        <w:pStyle w:val="BodyText"/>
        <w:spacing w:before="109"/>
        <w:ind w:left="873" w:right="0"/>
        <w:jc w:val="left"/>
      </w:pPr>
      <w:r>
        <w:rPr/>
        <w:pict>
          <v:shape style="position:absolute;margin-left:62.637798pt;margin-top:12.644459pt;width:3.25pt;height:3.25pt;mso-position-horizontal-relative:page;mso-position-vertical-relative:paragraph;z-index:251678720"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下一部：乾隆大藏经·西土圣贤撰集·龙树菩萨劝诫王颂一卷</w:t>
        </w:r>
      </w:hyperlink>
    </w:p>
    <w:p>
      <w:pPr>
        <w:pStyle w:val="BodyText"/>
        <w:spacing w:before="0"/>
        <w:ind w:left="0" w:right="0"/>
        <w:jc w:val="left"/>
        <w:rPr>
          <w:sz w:val="20"/>
        </w:rPr>
      </w:pPr>
    </w:p>
    <w:p>
      <w:pPr>
        <w:pStyle w:val="BodyText"/>
        <w:spacing w:before="2"/>
        <w:ind w:left="0" w:right="0"/>
        <w:jc w:val="left"/>
      </w:pPr>
      <w:r>
        <w:rPr/>
        <w:pict>
          <v:shapetype id="_x0000_t202" o:spt="202" coordsize="21600,21600" path="m,l,21600r21600,l21600,xe">
            <v:stroke joinstyle="miter"/>
            <v:path gradientshapeok="t" o:connecttype="rect"/>
          </v:shapetype>
          <v:shape style="position:absolute;margin-left:35.006748pt;margin-top:17.848854pt;width:539.050pt;height:22.45pt;mso-position-horizontal-relative:page;mso-position-vertical-relative:paragraph;z-index:-251641856;mso-wrap-distance-left:0;mso-wrap-distance-right:0" type="#_x0000_t202" filled="true" fillcolor="#ff9933" stroked="true" strokeweight=".80090pt" strokecolor="#000000">
            <v:textbox inset="0,0,0,0">
              <w:txbxContent>
                <w:p>
                  <w:pPr>
                    <w:pStyle w:val="BodyText"/>
                    <w:spacing w:before="64"/>
                    <w:ind w:left="3083" w:right="3081"/>
                    <w:jc w:val="center"/>
                  </w:pPr>
                  <w:r>
                    <w:rPr>
                      <w:color w:val="DDDDDD"/>
                    </w:rPr>
                    <w:t>乾隆大藏经·西土圣贤撰集·劝发诸王要偈</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49" w:hanging="369"/>
      </w:pPr>
      <w:rPr>
        <w:rFonts w:hint="default"/>
        <w:lang w:val="zh-CN" w:eastAsia="zh-CN" w:bidi="zh-CN"/>
      </w:rPr>
    </w:lvl>
    <w:lvl w:ilvl="2">
      <w:start w:val="0"/>
      <w:numFmt w:val="bullet"/>
      <w:lvlText w:val="•"/>
      <w:lvlJc w:val="left"/>
      <w:pPr>
        <w:ind w:left="1018" w:hanging="369"/>
      </w:pPr>
      <w:rPr>
        <w:rFonts w:hint="default"/>
        <w:lang w:val="zh-CN" w:eastAsia="zh-CN" w:bidi="zh-CN"/>
      </w:rPr>
    </w:lvl>
    <w:lvl w:ilvl="3">
      <w:start w:val="0"/>
      <w:numFmt w:val="bullet"/>
      <w:lvlText w:val="•"/>
      <w:lvlJc w:val="left"/>
      <w:pPr>
        <w:ind w:left="1287" w:hanging="369"/>
      </w:pPr>
      <w:rPr>
        <w:rFonts w:hint="default"/>
        <w:lang w:val="zh-CN" w:eastAsia="zh-CN" w:bidi="zh-CN"/>
      </w:rPr>
    </w:lvl>
    <w:lvl w:ilvl="4">
      <w:start w:val="0"/>
      <w:numFmt w:val="bullet"/>
      <w:lvlText w:val="•"/>
      <w:lvlJc w:val="left"/>
      <w:pPr>
        <w:ind w:left="1556" w:hanging="369"/>
      </w:pPr>
      <w:rPr>
        <w:rFonts w:hint="default"/>
        <w:lang w:val="zh-CN" w:eastAsia="zh-CN" w:bidi="zh-CN"/>
      </w:rPr>
    </w:lvl>
    <w:lvl w:ilvl="5">
      <w:start w:val="0"/>
      <w:numFmt w:val="bullet"/>
      <w:lvlText w:val="•"/>
      <w:lvlJc w:val="left"/>
      <w:pPr>
        <w:ind w:left="1826" w:hanging="369"/>
      </w:pPr>
      <w:rPr>
        <w:rFonts w:hint="default"/>
        <w:lang w:val="zh-CN" w:eastAsia="zh-CN" w:bidi="zh-CN"/>
      </w:rPr>
    </w:lvl>
    <w:lvl w:ilvl="6">
      <w:start w:val="0"/>
      <w:numFmt w:val="bullet"/>
      <w:lvlText w:val="•"/>
      <w:lvlJc w:val="left"/>
      <w:pPr>
        <w:ind w:left="2095" w:hanging="369"/>
      </w:pPr>
      <w:rPr>
        <w:rFonts w:hint="default"/>
        <w:lang w:val="zh-CN" w:eastAsia="zh-CN" w:bidi="zh-CN"/>
      </w:rPr>
    </w:lvl>
    <w:lvl w:ilvl="7">
      <w:start w:val="0"/>
      <w:numFmt w:val="bullet"/>
      <w:lvlText w:val="•"/>
      <w:lvlJc w:val="left"/>
      <w:pPr>
        <w:ind w:left="2364" w:hanging="369"/>
      </w:pPr>
      <w:rPr>
        <w:rFonts w:hint="default"/>
        <w:lang w:val="zh-CN" w:eastAsia="zh-CN" w:bidi="zh-CN"/>
      </w:rPr>
    </w:lvl>
    <w:lvl w:ilvl="8">
      <w:start w:val="0"/>
      <w:numFmt w:val="bullet"/>
      <w:lvlText w:val="•"/>
      <w:lvlJc w:val="left"/>
      <w:pPr>
        <w:ind w:left="2633" w:hanging="369"/>
      </w:pPr>
      <w:rPr>
        <w:rFonts w:hint="default"/>
        <w:lang w:val="zh-CN" w:eastAsia="zh-CN" w:bidi="zh-CN"/>
      </w:rPr>
    </w:lvl>
  </w:abstractNum>
  <w:abstractNum w:abstractNumId="1">
    <w:multiLevelType w:val="hybridMultilevel"/>
    <w:lvl w:ilvl="0">
      <w:start w:val="0"/>
      <w:numFmt w:val="bullet"/>
      <w:lvlText w:val="·"/>
      <w:lvlJc w:val="left"/>
      <w:pPr>
        <w:ind w:left="44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31" w:hanging="369"/>
      </w:pPr>
      <w:rPr>
        <w:rFonts w:hint="default"/>
        <w:lang w:val="zh-CN" w:eastAsia="zh-CN" w:bidi="zh-CN"/>
      </w:rPr>
    </w:lvl>
    <w:lvl w:ilvl="2">
      <w:start w:val="0"/>
      <w:numFmt w:val="bullet"/>
      <w:lvlText w:val="•"/>
      <w:lvlJc w:val="left"/>
      <w:pPr>
        <w:ind w:left="623" w:hanging="369"/>
      </w:pPr>
      <w:rPr>
        <w:rFonts w:hint="default"/>
        <w:lang w:val="zh-CN" w:eastAsia="zh-CN" w:bidi="zh-CN"/>
      </w:rPr>
    </w:lvl>
    <w:lvl w:ilvl="3">
      <w:start w:val="0"/>
      <w:numFmt w:val="bullet"/>
      <w:lvlText w:val="•"/>
      <w:lvlJc w:val="left"/>
      <w:pPr>
        <w:ind w:left="715" w:hanging="369"/>
      </w:pPr>
      <w:rPr>
        <w:rFonts w:hint="default"/>
        <w:lang w:val="zh-CN" w:eastAsia="zh-CN" w:bidi="zh-CN"/>
      </w:rPr>
    </w:lvl>
    <w:lvl w:ilvl="4">
      <w:start w:val="0"/>
      <w:numFmt w:val="bullet"/>
      <w:lvlText w:val="•"/>
      <w:lvlJc w:val="left"/>
      <w:pPr>
        <w:ind w:left="807" w:hanging="369"/>
      </w:pPr>
      <w:rPr>
        <w:rFonts w:hint="default"/>
        <w:lang w:val="zh-CN" w:eastAsia="zh-CN" w:bidi="zh-CN"/>
      </w:rPr>
    </w:lvl>
    <w:lvl w:ilvl="5">
      <w:start w:val="0"/>
      <w:numFmt w:val="bullet"/>
      <w:lvlText w:val="•"/>
      <w:lvlJc w:val="left"/>
      <w:pPr>
        <w:ind w:left="899" w:hanging="369"/>
      </w:pPr>
      <w:rPr>
        <w:rFonts w:hint="default"/>
        <w:lang w:val="zh-CN" w:eastAsia="zh-CN" w:bidi="zh-CN"/>
      </w:rPr>
    </w:lvl>
    <w:lvl w:ilvl="6">
      <w:start w:val="0"/>
      <w:numFmt w:val="bullet"/>
      <w:lvlText w:val="•"/>
      <w:lvlJc w:val="left"/>
      <w:pPr>
        <w:ind w:left="991" w:hanging="369"/>
      </w:pPr>
      <w:rPr>
        <w:rFonts w:hint="default"/>
        <w:lang w:val="zh-CN" w:eastAsia="zh-CN" w:bidi="zh-CN"/>
      </w:rPr>
    </w:lvl>
    <w:lvl w:ilvl="7">
      <w:start w:val="0"/>
      <w:numFmt w:val="bullet"/>
      <w:lvlText w:val="•"/>
      <w:lvlJc w:val="left"/>
      <w:pPr>
        <w:ind w:left="1083" w:hanging="369"/>
      </w:pPr>
      <w:rPr>
        <w:rFonts w:hint="default"/>
        <w:lang w:val="zh-CN" w:eastAsia="zh-CN" w:bidi="zh-CN"/>
      </w:rPr>
    </w:lvl>
    <w:lvl w:ilvl="8">
      <w:start w:val="0"/>
      <w:numFmt w:val="bullet"/>
      <w:lvlText w:val="•"/>
      <w:lvlJc w:val="left"/>
      <w:pPr>
        <w:ind w:left="1175"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0" w:hanging="369"/>
      </w:pPr>
      <w:rPr>
        <w:rFonts w:hint="default"/>
        <w:lang w:val="zh-CN" w:eastAsia="zh-CN" w:bidi="zh-CN"/>
      </w:rPr>
    </w:lvl>
    <w:lvl w:ilvl="2">
      <w:start w:val="0"/>
      <w:numFmt w:val="bullet"/>
      <w:lvlText w:val="•"/>
      <w:lvlJc w:val="left"/>
      <w:pPr>
        <w:ind w:left="1220" w:hanging="369"/>
      </w:pPr>
      <w:rPr>
        <w:rFonts w:hint="default"/>
        <w:lang w:val="zh-CN" w:eastAsia="zh-CN" w:bidi="zh-CN"/>
      </w:rPr>
    </w:lvl>
    <w:lvl w:ilvl="3">
      <w:start w:val="0"/>
      <w:numFmt w:val="bullet"/>
      <w:lvlText w:val="•"/>
      <w:lvlJc w:val="left"/>
      <w:pPr>
        <w:ind w:left="1370" w:hanging="369"/>
      </w:pPr>
      <w:rPr>
        <w:rFonts w:hint="default"/>
        <w:lang w:val="zh-CN" w:eastAsia="zh-CN" w:bidi="zh-CN"/>
      </w:rPr>
    </w:lvl>
    <w:lvl w:ilvl="4">
      <w:start w:val="0"/>
      <w:numFmt w:val="bullet"/>
      <w:lvlText w:val="•"/>
      <w:lvlJc w:val="left"/>
      <w:pPr>
        <w:ind w:left="1520" w:hanging="369"/>
      </w:pPr>
      <w:rPr>
        <w:rFonts w:hint="default"/>
        <w:lang w:val="zh-CN" w:eastAsia="zh-CN" w:bidi="zh-CN"/>
      </w:rPr>
    </w:lvl>
    <w:lvl w:ilvl="5">
      <w:start w:val="0"/>
      <w:numFmt w:val="bullet"/>
      <w:lvlText w:val="•"/>
      <w:lvlJc w:val="left"/>
      <w:pPr>
        <w:ind w:left="1671" w:hanging="369"/>
      </w:pPr>
      <w:rPr>
        <w:rFonts w:hint="default"/>
        <w:lang w:val="zh-CN" w:eastAsia="zh-CN" w:bidi="zh-CN"/>
      </w:rPr>
    </w:lvl>
    <w:lvl w:ilvl="6">
      <w:start w:val="0"/>
      <w:numFmt w:val="bullet"/>
      <w:lvlText w:val="•"/>
      <w:lvlJc w:val="left"/>
      <w:pPr>
        <w:ind w:left="1821" w:hanging="369"/>
      </w:pPr>
      <w:rPr>
        <w:rFonts w:hint="default"/>
        <w:lang w:val="zh-CN" w:eastAsia="zh-CN" w:bidi="zh-CN"/>
      </w:rPr>
    </w:lvl>
    <w:lvl w:ilvl="7">
      <w:start w:val="0"/>
      <w:numFmt w:val="bullet"/>
      <w:lvlText w:val="•"/>
      <w:lvlJc w:val="left"/>
      <w:pPr>
        <w:ind w:left="1971" w:hanging="369"/>
      </w:pPr>
      <w:rPr>
        <w:rFonts w:hint="default"/>
        <w:lang w:val="zh-CN" w:eastAsia="zh-CN" w:bidi="zh-CN"/>
      </w:rPr>
    </w:lvl>
    <w:lvl w:ilvl="8">
      <w:start w:val="0"/>
      <w:numFmt w:val="bullet"/>
      <w:lvlText w:val="•"/>
      <w:lvlJc w:val="left"/>
      <w:pPr>
        <w:ind w:left="212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80"/>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32.htm" TargetMode="External"/><Relationship Id="rId6" Type="http://schemas.openxmlformats.org/officeDocument/2006/relationships/hyperlink" Target="http://qldzj.com/htmljw/143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2020-04-22T12:02:45Z</dcterms:created>
  <dcterms:modified xsi:type="dcterms:W3CDTF">2020-04-22T12:02:45Z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