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617"/>
        <w:gridCol w:w="3944"/>
        <w:gridCol w:w="3218"/>
      </w:tblGrid>
      <w:tr>
        <w:trPr>
          <w:trHeight w:val="476" w:hRule="atLeast"/>
        </w:trPr>
        <w:tc>
          <w:tcPr>
            <w:tcW w:w="3617" w:type="dxa"/>
            <w:tcBorders>
              <w:right w:val="nil"/>
            </w:tcBorders>
            <w:shd w:val="clear" w:color="auto" w:fill="FF9933"/>
          </w:tcPr>
          <w:p>
            <w:pPr>
              <w:pStyle w:val="TableParagraph"/>
              <w:spacing w:before="86"/>
              <w:ind w:left="327"/>
              <w:rPr>
                <w:sz w:val="24"/>
              </w:rPr>
            </w:pPr>
            <w:r>
              <w:rPr>
                <w:color w:val="DDDDDD"/>
                <w:sz w:val="24"/>
              </w:rPr>
              <w:t>西土圣贤撰集·第1434部</w:t>
            </w:r>
          </w:p>
        </w:tc>
        <w:tc>
          <w:tcPr>
            <w:tcW w:w="3944" w:type="dxa"/>
            <w:tcBorders>
              <w:left w:val="nil"/>
              <w:right w:val="nil"/>
            </w:tcBorders>
            <w:shd w:val="clear" w:color="auto" w:fill="FF9933"/>
          </w:tcPr>
          <w:p>
            <w:pPr>
              <w:pStyle w:val="TableParagraph"/>
              <w:spacing w:before="86"/>
              <w:ind w:left="580"/>
              <w:rPr>
                <w:sz w:val="24"/>
              </w:rPr>
            </w:pPr>
            <w:r>
              <w:rPr>
                <w:color w:val="EDFFFF"/>
                <w:sz w:val="24"/>
              </w:rPr>
              <w:t>龙树菩萨劝诫王颂一卷</w:t>
            </w:r>
          </w:p>
        </w:tc>
        <w:tc>
          <w:tcPr>
            <w:tcW w:w="3218" w:type="dxa"/>
            <w:tcBorders>
              <w:left w:val="nil"/>
            </w:tcBorders>
            <w:shd w:val="clear" w:color="auto" w:fill="FF9933"/>
          </w:tcPr>
          <w:p>
            <w:pPr>
              <w:pStyle w:val="TableParagraph"/>
              <w:spacing w:before="86"/>
              <w:ind w:left="977"/>
              <w:rPr>
                <w:sz w:val="24"/>
              </w:rPr>
            </w:pPr>
            <w:r>
              <w:rPr>
                <w:color w:val="DDDDDD"/>
                <w:sz w:val="24"/>
              </w:rPr>
              <w:t>唐三藏法师义净译</w:t>
            </w:r>
          </w:p>
        </w:tc>
      </w:tr>
      <w:tr>
        <w:trPr>
          <w:trHeight w:val="1149" w:hRule="atLeast"/>
        </w:trPr>
        <w:tc>
          <w:tcPr>
            <w:tcW w:w="3617" w:type="dxa"/>
            <w:tcBorders>
              <w:right w:val="nil"/>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TableParagraph"/>
              <w:spacing w:before="4"/>
              <w:ind w:left="0"/>
              <w:rPr>
                <w:rFonts w:ascii="Times New Roman"/>
                <w:sz w:val="30"/>
              </w:rPr>
            </w:pPr>
          </w:p>
          <w:p>
            <w:pPr>
              <w:pStyle w:val="TableParagraph"/>
              <w:spacing w:before="0"/>
              <w:ind w:left="543"/>
              <w:rPr>
                <w:sz w:val="24"/>
              </w:rPr>
            </w:pPr>
            <w:r>
              <w:rPr>
                <w:color w:val="FF3300"/>
                <w:sz w:val="24"/>
              </w:rPr>
              <w:t>龙树菩萨劝诫王颂</w:t>
            </w:r>
          </w:p>
        </w:tc>
        <w:tc>
          <w:tcPr>
            <w:tcW w:w="3944" w:type="dxa"/>
            <w:tcBorders>
              <w:left w:val="nil"/>
              <w:right w:val="nil"/>
            </w:tcBorders>
          </w:tcPr>
          <w:p>
            <w:pPr>
              <w:pStyle w:val="TableParagraph"/>
              <w:numPr>
                <w:ilvl w:val="0"/>
                <w:numId w:val="2"/>
              </w:numPr>
              <w:tabs>
                <w:tab w:pos="646" w:val="left" w:leader="none"/>
              </w:tabs>
              <w:spacing w:line="290"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646" w:val="left" w:leader="none"/>
              </w:tabs>
              <w:spacing w:line="290" w:lineRule="exact" w:before="0" w:after="0"/>
              <w:ind w:left="645" w:right="0" w:hanging="369"/>
              <w:jc w:val="left"/>
              <w:rPr>
                <w:sz w:val="24"/>
              </w:rPr>
            </w:pPr>
            <w:r>
              <w:rPr>
                <w:color w:val="993300"/>
                <w:sz w:val="24"/>
              </w:rPr>
              <w:t>译作者</w:t>
            </w:r>
          </w:p>
        </w:tc>
        <w:tc>
          <w:tcPr>
            <w:tcW w:w="3218" w:type="dxa"/>
            <w:tcBorders>
              <w:left w:val="nil"/>
            </w:tcBorders>
          </w:tcPr>
          <w:p>
            <w:pPr>
              <w:pStyle w:val="TableParagraph"/>
              <w:spacing w:line="213" w:lineRule="auto" w:before="113"/>
              <w:ind w:left="1646" w:right="358"/>
              <w:rPr>
                <w:sz w:val="24"/>
              </w:rPr>
            </w:pPr>
            <w:r>
              <w:rPr>
                <w:sz w:val="24"/>
              </w:rPr>
              <w:t>字体：</w:t>
            </w:r>
            <w:r>
              <w:rPr>
                <w:color w:val="FF3300"/>
                <w:sz w:val="24"/>
              </w:rPr>
              <w:t>大号中号 小号</w:t>
            </w:r>
          </w:p>
        </w:tc>
      </w:tr>
      <w:tr>
        <w:trPr>
          <w:trHeight w:val="712" w:hRule="atLeast"/>
        </w:trPr>
        <w:tc>
          <w:tcPr>
            <w:tcW w:w="10779" w:type="dxa"/>
            <w:gridSpan w:val="3"/>
            <w:tcBorders>
              <w:bottom w:val="nil"/>
            </w:tcBorders>
          </w:tcPr>
          <w:p>
            <w:pPr>
              <w:pStyle w:val="TableParagraph"/>
              <w:spacing w:before="5"/>
              <w:ind w:left="0"/>
              <w:rPr>
                <w:rFonts w:ascii="Times New Roman"/>
                <w:sz w:val="21"/>
              </w:rPr>
            </w:pPr>
          </w:p>
          <w:p>
            <w:pPr>
              <w:pStyle w:val="TableParagraph"/>
              <w:spacing w:before="0"/>
              <w:ind w:left="4409" w:right="4390"/>
              <w:jc w:val="center"/>
              <w:rPr>
                <w:sz w:val="24"/>
              </w:rPr>
            </w:pPr>
            <w:r>
              <w:rPr>
                <w:color w:val="FF3300"/>
                <w:sz w:val="24"/>
              </w:rPr>
              <w:t>龙树菩萨劝诫王颂</w:t>
            </w:r>
          </w:p>
        </w:tc>
      </w:tr>
      <w:tr>
        <w:trPr>
          <w:trHeight w:val="536" w:hRule="atLeast"/>
        </w:trPr>
        <w:tc>
          <w:tcPr>
            <w:tcW w:w="10779" w:type="dxa"/>
            <w:gridSpan w:val="3"/>
            <w:tcBorders>
              <w:top w:val="nil"/>
              <w:bottom w:val="nil"/>
            </w:tcBorders>
          </w:tcPr>
          <w:p>
            <w:pPr>
              <w:pStyle w:val="TableParagraph"/>
              <w:spacing w:before="142"/>
              <w:rPr>
                <w:sz w:val="24"/>
              </w:rPr>
            </w:pPr>
            <w:r>
              <w:rPr>
                <w:sz w:val="24"/>
              </w:rPr>
              <w:t>此颂是龙树菩萨以诗代书。寄与南印度亲友乘土国王一首。此书已先译神州处藏人多不见。</w:t>
            </w:r>
          </w:p>
        </w:tc>
      </w:tr>
      <w:tr>
        <w:trPr>
          <w:trHeight w:val="544" w:hRule="atLeast"/>
        </w:trPr>
        <w:tc>
          <w:tcPr>
            <w:tcW w:w="10779" w:type="dxa"/>
            <w:gridSpan w:val="3"/>
            <w:tcBorders>
              <w:top w:val="nil"/>
              <w:bottom w:val="nil"/>
            </w:tcBorders>
          </w:tcPr>
          <w:p>
            <w:pPr>
              <w:pStyle w:val="TableParagraph"/>
              <w:ind w:left="327"/>
              <w:rPr>
                <w:sz w:val="24"/>
              </w:rPr>
            </w:pPr>
            <w:r>
              <w:rPr>
                <w:sz w:val="24"/>
              </w:rPr>
              <w:t>遂令妙语不得详知。为此更定本文。冀使流通罔滞。沙门义净创至东印度耽摩立底国译。</w:t>
            </w:r>
          </w:p>
        </w:tc>
      </w:tr>
      <w:tr>
        <w:trPr>
          <w:trHeight w:val="544" w:hRule="atLeast"/>
        </w:trPr>
        <w:tc>
          <w:tcPr>
            <w:tcW w:w="10779" w:type="dxa"/>
            <w:gridSpan w:val="3"/>
            <w:tcBorders>
              <w:top w:val="nil"/>
              <w:bottom w:val="nil"/>
            </w:tcBorders>
          </w:tcPr>
          <w:p>
            <w:pPr>
              <w:pStyle w:val="TableParagraph"/>
              <w:tabs>
                <w:tab w:pos="2970" w:val="left" w:leader="none"/>
              </w:tabs>
              <w:spacing w:before="150"/>
              <w:rPr>
                <w:sz w:val="24"/>
              </w:rPr>
            </w:pPr>
            <w:r>
              <w:rPr>
                <w:sz w:val="24"/>
              </w:rPr>
              <w:t>有情无知覆心故</w:t>
              <w:tab/>
              <w:t>由此兴悲为开解</w:t>
            </w:r>
          </w:p>
        </w:tc>
      </w:tr>
      <w:tr>
        <w:trPr>
          <w:trHeight w:val="544" w:hRule="atLeast"/>
        </w:trPr>
        <w:tc>
          <w:tcPr>
            <w:tcW w:w="10779" w:type="dxa"/>
            <w:gridSpan w:val="3"/>
            <w:tcBorders>
              <w:top w:val="nil"/>
              <w:bottom w:val="nil"/>
            </w:tcBorders>
          </w:tcPr>
          <w:p>
            <w:pPr>
              <w:pStyle w:val="TableParagraph"/>
              <w:tabs>
                <w:tab w:pos="2970" w:val="left" w:leader="none"/>
              </w:tabs>
              <w:rPr>
                <w:sz w:val="24"/>
              </w:rPr>
            </w:pPr>
            <w:r>
              <w:rPr>
                <w:sz w:val="24"/>
              </w:rPr>
              <w:t>大德龙树为国王</w:t>
              <w:tab/>
              <w:t>寄书与彼令修学</w:t>
            </w:r>
          </w:p>
        </w:tc>
      </w:tr>
      <w:tr>
        <w:trPr>
          <w:trHeight w:val="624" w:hRule="atLeast"/>
        </w:trPr>
        <w:tc>
          <w:tcPr>
            <w:tcW w:w="10779" w:type="dxa"/>
            <w:gridSpan w:val="3"/>
            <w:tcBorders>
              <w:top w:val="nil"/>
              <w:bottom w:val="nil"/>
            </w:tcBorders>
          </w:tcPr>
          <w:p>
            <w:pPr>
              <w:pStyle w:val="TableParagraph"/>
              <w:spacing w:before="150"/>
              <w:rPr>
                <w:sz w:val="24"/>
              </w:rPr>
            </w:pPr>
            <w:r>
              <w:rPr>
                <w:sz w:val="24"/>
              </w:rPr>
              <w:t>此一行颂乃是后人所述标书本意也。</w:t>
            </w:r>
          </w:p>
        </w:tc>
      </w:tr>
      <w:tr>
        <w:trPr>
          <w:trHeight w:val="544" w:hRule="atLeast"/>
        </w:trPr>
        <w:tc>
          <w:tcPr>
            <w:tcW w:w="10779" w:type="dxa"/>
            <w:gridSpan w:val="3"/>
            <w:tcBorders>
              <w:top w:val="nil"/>
              <w:bottom w:val="nil"/>
            </w:tcBorders>
          </w:tcPr>
          <w:p>
            <w:pPr>
              <w:pStyle w:val="TableParagraph"/>
              <w:tabs>
                <w:tab w:pos="2970" w:val="left" w:leader="none"/>
              </w:tabs>
              <w:spacing w:before="150"/>
              <w:rPr>
                <w:sz w:val="24"/>
              </w:rPr>
            </w:pPr>
            <w:r>
              <w:rPr>
                <w:sz w:val="24"/>
              </w:rPr>
              <w:t>具德我演如如教</w:t>
              <w:tab/>
              <w:t>为生福爱而兴述</w:t>
            </w:r>
          </w:p>
        </w:tc>
      </w:tr>
      <w:tr>
        <w:trPr>
          <w:trHeight w:val="464" w:hRule="atLeast"/>
        </w:trPr>
        <w:tc>
          <w:tcPr>
            <w:tcW w:w="10779" w:type="dxa"/>
            <w:gridSpan w:val="3"/>
            <w:tcBorders>
              <w:top w:val="nil"/>
              <w:bottom w:val="nil"/>
            </w:tcBorders>
          </w:tcPr>
          <w:p>
            <w:pPr>
              <w:pStyle w:val="TableParagraph"/>
              <w:tabs>
                <w:tab w:pos="2970" w:val="left" w:leader="none"/>
              </w:tabs>
              <w:rPr>
                <w:sz w:val="24"/>
              </w:rPr>
            </w:pPr>
            <w:r>
              <w:rPr>
                <w:sz w:val="24"/>
              </w:rPr>
              <w:t>真善宜应可审听</w:t>
              <w:tab/>
              <w:t>此颂名为圣只底</w:t>
            </w:r>
          </w:p>
        </w:tc>
      </w:tr>
      <w:tr>
        <w:trPr>
          <w:trHeight w:val="464" w:hRule="atLeast"/>
        </w:trPr>
        <w:tc>
          <w:tcPr>
            <w:tcW w:w="10779" w:type="dxa"/>
            <w:gridSpan w:val="3"/>
            <w:tcBorders>
              <w:top w:val="nil"/>
              <w:bottom w:val="nil"/>
            </w:tcBorders>
          </w:tcPr>
          <w:p>
            <w:pPr>
              <w:pStyle w:val="TableParagraph"/>
              <w:tabs>
                <w:tab w:pos="2970" w:val="left" w:leader="none"/>
              </w:tabs>
              <w:rPr>
                <w:sz w:val="24"/>
              </w:rPr>
            </w:pPr>
            <w:r>
              <w:rPr>
                <w:sz w:val="24"/>
              </w:rPr>
              <w:t>随何木等雕佛像</w:t>
              <w:tab/>
              <w:t>诸有智者咸供养</w:t>
            </w:r>
          </w:p>
        </w:tc>
      </w:tr>
      <w:tr>
        <w:trPr>
          <w:trHeight w:val="464" w:hRule="atLeast"/>
        </w:trPr>
        <w:tc>
          <w:tcPr>
            <w:tcW w:w="10779" w:type="dxa"/>
            <w:gridSpan w:val="3"/>
            <w:tcBorders>
              <w:top w:val="nil"/>
              <w:bottom w:val="nil"/>
            </w:tcBorders>
          </w:tcPr>
          <w:p>
            <w:pPr>
              <w:pStyle w:val="TableParagraph"/>
              <w:tabs>
                <w:tab w:pos="2970" w:val="left" w:leader="none"/>
              </w:tabs>
              <w:rPr>
                <w:sz w:val="24"/>
              </w:rPr>
            </w:pPr>
            <w:r>
              <w:rPr>
                <w:sz w:val="24"/>
              </w:rPr>
              <w:t>纵使我诗非巧妙</w:t>
              <w:tab/>
              <w:t>依正法说勿当轻</w:t>
            </w:r>
          </w:p>
        </w:tc>
      </w:tr>
      <w:tr>
        <w:trPr>
          <w:trHeight w:val="464" w:hRule="atLeast"/>
        </w:trPr>
        <w:tc>
          <w:tcPr>
            <w:tcW w:w="10779" w:type="dxa"/>
            <w:gridSpan w:val="3"/>
            <w:tcBorders>
              <w:top w:val="nil"/>
              <w:bottom w:val="nil"/>
            </w:tcBorders>
          </w:tcPr>
          <w:p>
            <w:pPr>
              <w:pStyle w:val="TableParagraph"/>
              <w:tabs>
                <w:tab w:pos="2970" w:val="left" w:leader="none"/>
              </w:tabs>
              <w:rPr>
                <w:sz w:val="24"/>
              </w:rPr>
            </w:pPr>
            <w:r>
              <w:rPr>
                <w:sz w:val="24"/>
              </w:rPr>
              <w:t>王虽先解如如教</w:t>
              <w:tab/>
              <w:t>更闻佛语增胜解</w:t>
            </w:r>
          </w:p>
        </w:tc>
      </w:tr>
      <w:tr>
        <w:trPr>
          <w:trHeight w:val="464" w:hRule="atLeast"/>
        </w:trPr>
        <w:tc>
          <w:tcPr>
            <w:tcW w:w="10779" w:type="dxa"/>
            <w:gridSpan w:val="3"/>
            <w:tcBorders>
              <w:top w:val="nil"/>
              <w:bottom w:val="nil"/>
            </w:tcBorders>
          </w:tcPr>
          <w:p>
            <w:pPr>
              <w:pStyle w:val="TableParagraph"/>
              <w:tabs>
                <w:tab w:pos="2970" w:val="left" w:leader="none"/>
              </w:tabs>
              <w:rPr>
                <w:sz w:val="24"/>
              </w:rPr>
            </w:pPr>
            <w:r>
              <w:rPr>
                <w:sz w:val="24"/>
              </w:rPr>
              <w:t>犹如粉壁月光辉</w:t>
              <w:tab/>
              <w:t>岂不鲜明益姝妙</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佛法并僧众</w:t>
              <w:tab/>
              <w:t>施戒及与天</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一一功德聚</w:t>
              <w:tab/>
              <w:t>佛说应常念</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十善诸业道</w:t>
              <w:tab/>
              <w:t>身语意常亲</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远离于诸酒</w:t>
              <w:tab/>
              <w:t>亦行清净命</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知财体非固</w:t>
              <w:tab/>
              <w:t>如法施苾刍</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贫贱及再生</w:t>
              <w:tab/>
              <w:t>来世为亲友</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众德依戒住</w:t>
              <w:tab/>
              <w:t>如地长一切</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勿冗瘦杂悕</w:t>
              <w:tab/>
              <w:t>佛说应常习</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施戒忍勇定</w:t>
              <w:tab/>
              <w:t>惠不可称量</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此能到应修</w:t>
              <w:tab/>
              <w:t>渡有海成佛</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若孝养父母</w:t>
              <w:tab/>
              <w:t>其家有梵王</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现招善名称</w:t>
              <w:tab/>
              <w:t>来世生天堂</w:t>
            </w:r>
          </w:p>
        </w:tc>
      </w:tr>
      <w:tr>
        <w:trPr>
          <w:trHeight w:val="464" w:hRule="atLeast"/>
        </w:trPr>
        <w:tc>
          <w:tcPr>
            <w:tcW w:w="10779" w:type="dxa"/>
            <w:gridSpan w:val="3"/>
            <w:tcBorders>
              <w:top w:val="nil"/>
              <w:bottom w:val="nil"/>
            </w:tcBorders>
          </w:tcPr>
          <w:p>
            <w:pPr>
              <w:pStyle w:val="TableParagraph"/>
              <w:tabs>
                <w:tab w:pos="2489" w:val="left" w:leader="none"/>
              </w:tabs>
              <w:rPr>
                <w:sz w:val="24"/>
              </w:rPr>
            </w:pPr>
            <w:r>
              <w:rPr>
                <w:sz w:val="24"/>
              </w:rPr>
              <w:t>杀盗淫妄说</w:t>
              <w:tab/>
              <w:t>耽食爱高床</w:t>
            </w:r>
          </w:p>
        </w:tc>
      </w:tr>
      <w:tr>
        <w:trPr>
          <w:trHeight w:val="478" w:hRule="atLeast"/>
        </w:trPr>
        <w:tc>
          <w:tcPr>
            <w:tcW w:w="10779" w:type="dxa"/>
            <w:gridSpan w:val="3"/>
            <w:tcBorders>
              <w:top w:val="nil"/>
              <w:bottom w:val="nil"/>
            </w:tcBorders>
          </w:tcPr>
          <w:p>
            <w:pPr>
              <w:pStyle w:val="TableParagraph"/>
              <w:tabs>
                <w:tab w:pos="2489" w:val="left" w:leader="none"/>
              </w:tabs>
              <w:rPr>
                <w:sz w:val="24"/>
              </w:rPr>
            </w:pPr>
            <w:r>
              <w:rPr>
                <w:sz w:val="24"/>
              </w:rPr>
              <w:t>断诸酒歌舞</w:t>
              <w:tab/>
              <w:t>华彩及涂香</w:t>
            </w:r>
          </w:p>
        </w:tc>
      </w:tr>
    </w:tbl>
    <w:p>
      <w:pPr>
        <w:spacing w:after="0"/>
        <w:rPr>
          <w:sz w:val="24"/>
        </w:rPr>
        <w:sectPr>
          <w:type w:val="continuous"/>
          <w:pgSz w:w="12240" w:h="15840"/>
          <w:pgMar w:top="700" w:bottom="280" w:left="580" w:right="640"/>
        </w:sectPr>
      </w:pPr>
    </w:p>
    <w:p>
      <w:pPr>
        <w:pStyle w:val="BodyText"/>
        <w:spacing w:line="362" w:lineRule="auto" w:before="76"/>
      </w:pPr>
      <w:r>
        <w:rPr/>
        <w:pict>
          <v:rect style="position:absolute;margin-left:573.612pt;margin-top:28.999924pt;width:.80090pt;height:734.393999pt;mso-position-horizontal-relative:page;mso-position-vertical-relative:page;z-index:15728640" filled="true" fillcolor="#000000" stroked="false">
            <v:fill type="solid"/>
            <w10:wrap type="none"/>
          </v:rect>
        </w:pict>
      </w:r>
      <w:r>
        <w:rPr/>
        <w:pict>
          <v:rect style="position:absolute;margin-left:34.6063pt;margin-top:28.999924pt;width:.80090pt;height:734.393999pt;mso-position-horizontal-relative:page;mso-position-vertical-relative:page;z-index:15729152" filled="true" fillcolor="#000000" stroked="false">
            <v:fill type="solid"/>
            <w10:wrap type="none"/>
          </v:rect>
        </w:pict>
      </w:r>
      <w:r>
        <w:rPr/>
        <w:t>若女男能成   此八支圣戒欲界六天上   长净善当生悭谄诳贪怠   慢淫嗔氏族多闻年少娇   并视如怨贼说无生由勤   有死因放逸勤能长善法   尔可修谨慎先时离放逸   后若改勤修犹如云翳除   良宵睹明月孙陀罗难陀   央具理摩罗达舍绮莫迦   翻恶皆成善勇进无同忍   勿使忿势行终得不还位   佛证可除嗔他人打骂我   欺陵夺我财怀恨招怨诤   舍恨眠安乐如于水土石   人心尽彼同起烦恼前胜   爱法者如后佛说三种语   人美实虚言犹如蜜花粪   弃后可行前今明后亦明   今闇后还闇或今明后闇   或今闇后明如是四种人   王当依第一自有生如熟   亦有熟如生亦有熟如熟   或复生如生庵没罗果中   有如是差别人亦同彼四   难识王应知勿睹他妻室   设观如母女姊妹想随年   起贪思不净如闻子藏命   防持躁动心兽药刀怨火   无令欲乐侵由欲作无利   譬如兼博果佛说彼应除 生死牢枷锁</w:t>
      </w:r>
    </w:p>
    <w:p>
      <w:pPr>
        <w:spacing w:after="0" w:line="362" w:lineRule="auto"/>
        <w:sectPr>
          <w:pgSz w:w="12240" w:h="15840"/>
          <w:pgMar w:top="580" w:bottom="280" w:left="580" w:right="640"/>
        </w:sectPr>
      </w:pPr>
    </w:p>
    <w:p>
      <w:pPr>
        <w:pStyle w:val="BodyText"/>
        <w:spacing w:line="362" w:lineRule="auto" w:before="77"/>
      </w:pPr>
      <w:r>
        <w:rPr/>
        <w:pict>
          <v:rect style="position:absolute;margin-left:573.612pt;margin-top:29.000051pt;width:.80090pt;height:734.393899pt;mso-position-horizontal-relative:page;mso-position-vertical-relative:page;z-index:15729664" filled="true" fillcolor="#000000" stroked="false">
            <v:fill type="solid"/>
            <w10:wrap type="none"/>
          </v:rect>
        </w:pict>
      </w:r>
      <w:r>
        <w:rPr/>
        <w:pict>
          <v:rect style="position:absolute;margin-left:34.6063pt;margin-top:29.000051pt;width:.80090pt;height:734.393899pt;mso-position-horizontal-relative:page;mso-position-vertical-relative:page;z-index:15730176" filled="true" fillcolor="#000000" stroked="false">
            <v:fill type="solid"/>
            <w10:wrap type="none"/>
          </v:rect>
        </w:pict>
      </w:r>
      <w:r>
        <w:rPr>
          <w:spacing w:val="-2"/>
        </w:rPr>
        <w:t>谲诳常摇境   能降斯六识</w:t>
      </w:r>
      <w:r>
        <w:rPr>
          <w:spacing w:val="-1"/>
        </w:rPr>
        <w:t>执仗扫众怨    许初为勇极</w:t>
      </w:r>
    </w:p>
    <w:p>
      <w:pPr>
        <w:pStyle w:val="BodyText"/>
        <w:spacing w:line="362" w:lineRule="auto" w:before="0"/>
        <w:ind w:right="6243"/>
      </w:pPr>
      <w:r>
        <w:rPr>
          <w:spacing w:val="-1"/>
        </w:rPr>
        <w:t>臭气九门众秽室   行躯难满薄皮缠请看少女除庄彩   折别形骸恶叵言</w:t>
      </w:r>
      <w:r>
        <w:rPr/>
        <w:t>癞虫穿已痛 求安就火边</w:t>
      </w:r>
    </w:p>
    <w:p>
      <w:pPr>
        <w:pStyle w:val="BodyText"/>
        <w:spacing w:line="362" w:lineRule="auto"/>
      </w:pPr>
      <w:r>
        <w:rPr>
          <w:spacing w:val="-2"/>
        </w:rPr>
        <w:t>止息无由免   耽欲亦同然为知真胜理   作意观众事唯斯德应习   无余法可亲若人具族望   貌美复多闻无智破尸罗   是人何足责若人无族望   貌丑寡知闻有智护尸罗   人皆应供养利无利苦乐   称无称毁讥了俗世八法   齐心离斯境再生天乞士   父母妻子人勿由斯造罪   狱果他不分若行诸罪业   非如刀斩伤待至临终际   恶业果全彰信戒施净闻   惭愧及正慧</w:t>
      </w:r>
      <w:r>
        <w:rPr>
          <w:spacing w:val="-1"/>
        </w:rPr>
        <w:t>七财牟尼说    共有物诚虚</w:t>
      </w:r>
    </w:p>
    <w:p>
      <w:pPr>
        <w:pStyle w:val="BodyText"/>
        <w:spacing w:line="362" w:lineRule="auto" w:before="3"/>
        <w:ind w:right="6243"/>
      </w:pPr>
      <w:r>
        <w:rPr>
          <w:spacing w:val="-1"/>
        </w:rPr>
        <w:t>博弈乐观諠杂境   懒惰恶友敦亲志饮酒非时行六过   此劫芳名尔应弃</w:t>
      </w:r>
      <w:r>
        <w:rPr/>
        <w:t>求财少欲最 人天师盛陈</w:t>
      </w:r>
    </w:p>
    <w:p>
      <w:pPr>
        <w:pStyle w:val="BodyText"/>
        <w:ind w:right="0"/>
      </w:pPr>
      <w:r>
        <w:rPr/>
        <w:t>若能修少欲    虽贫是富人</w:t>
      </w:r>
    </w:p>
    <w:p>
      <w:pPr>
        <w:pStyle w:val="BodyText"/>
        <w:spacing w:line="362" w:lineRule="auto" w:before="157"/>
        <w:ind w:right="6243"/>
      </w:pPr>
      <w:r>
        <w:rPr>
          <w:spacing w:val="-1"/>
        </w:rPr>
        <w:t>若人广求诸事者   还被尔许苦来加智者若不修少欲   受恼还如众首蛇禀性抱怨如杀者   欺轻夫主如男偶纵使片物必行偷   宜可弃兹三贼妇顺若姊妹慈如母   随从若婢伴犹亲如兹四妇宜应供   应知此室号天人</w:t>
      </w:r>
      <w:r>
        <w:rPr/>
        <w:t>受餐如服药 知量去贪嗔</w:t>
      </w:r>
    </w:p>
    <w:p>
      <w:pPr>
        <w:spacing w:after="0" w:line="362" w:lineRule="auto"/>
        <w:sectPr>
          <w:pgSz w:w="12240" w:h="15840"/>
          <w:pgMar w:top="580" w:bottom="280" w:left="580" w:right="640"/>
        </w:sectPr>
      </w:pPr>
    </w:p>
    <w:p>
      <w:pPr>
        <w:pStyle w:val="BodyText"/>
        <w:spacing w:line="362" w:lineRule="auto" w:before="78"/>
      </w:pPr>
      <w:r>
        <w:rPr/>
        <w:pict>
          <v:rect style="position:absolute;margin-left:573.612pt;margin-top:28.999823pt;width:.80090pt;height:734.393999pt;mso-position-horizontal-relative:page;mso-position-vertical-relative:page;z-index:15730688" filled="true" fillcolor="#000000" stroked="false">
            <v:fill type="solid"/>
            <w10:wrap type="none"/>
          </v:rect>
        </w:pict>
      </w:r>
      <w:r>
        <w:rPr/>
        <w:pict>
          <v:rect style="position:absolute;margin-left:34.6063pt;margin-top:28.999823pt;width:.80090pt;height:734.393999pt;mso-position-horizontal-relative:page;mso-position-vertical-relative:page;z-index:15731200" filled="true" fillcolor="#000000" stroked="false">
            <v:fill type="solid"/>
            <w10:wrap type="none"/>
          </v:rect>
        </w:pict>
      </w:r>
      <w:r>
        <w:rPr>
          <w:spacing w:val="-2"/>
        </w:rPr>
        <w:t>不为肥憍傲   但欲住持身勤躯度永日   于初后夜中眠梦犹存念   勿使命虚终慈悲喜正舍   修习可常研</w:t>
      </w:r>
      <w:r>
        <w:rPr>
          <w:spacing w:val="-1"/>
        </w:rPr>
        <w:t>上流虽未入    能生梵世天</w:t>
      </w:r>
    </w:p>
    <w:p>
      <w:pPr>
        <w:pStyle w:val="BodyText"/>
        <w:spacing w:line="362" w:lineRule="auto"/>
        <w:ind w:right="6243"/>
      </w:pPr>
      <w:r>
        <w:rPr>
          <w:spacing w:val="-1"/>
        </w:rPr>
        <w:t>舍杂欲苦寻喜乐   随业当生四地中大梵光音及遍净   广果天生与彼同</w:t>
      </w:r>
      <w:r>
        <w:rPr/>
        <w:t>若恒修对治 德胜愍众生</w:t>
      </w:r>
    </w:p>
    <w:p>
      <w:pPr>
        <w:pStyle w:val="BodyText"/>
        <w:spacing w:line="362" w:lineRule="auto" w:before="0"/>
      </w:pPr>
      <w:r>
        <w:rPr>
          <w:spacing w:val="-2"/>
        </w:rPr>
        <w:t>此五行为善   不行为大恶雨盐碱少水   岂若泻江池纵令微罪业   善大殄应知嗔掉举恶作   惛睡欲贪疑如斯五盖贼   常偷诸善利有五最胜法   信勇念定慧于此应勤习   能招根力顶病苦死爱别   斯皆自业为未度可勤修   对品亡娇恣若悕天解脱   尔当修正见设使人行善   邪见招恶果无乐常无我   不净审知人妄念四倒见   难苦在兹身说色不是我   我非有于色色我非更在   知余四蕴空不从时节生   非自然本性非无因自在   从愚业爱生戒禁见身见   及毗织吉蹉应知三种结   能缚木叉门解脱终依己   不由他伴成勤修闻戒定   四真谛便生增上戒心慧   兹学可常修</w:t>
      </w:r>
      <w:r>
        <w:rPr>
          <w:spacing w:val="-1"/>
        </w:rPr>
        <w:t>百五十余戒    咸归此三摄</w:t>
      </w:r>
    </w:p>
    <w:p>
      <w:pPr>
        <w:spacing w:after="0" w:line="362" w:lineRule="auto"/>
        <w:sectPr>
          <w:pgSz w:w="12240" w:h="15840"/>
          <w:pgMar w:top="580" w:bottom="280" w:left="580" w:right="640"/>
        </w:sectPr>
      </w:pPr>
    </w:p>
    <w:p>
      <w:pPr>
        <w:pStyle w:val="BodyText"/>
        <w:spacing w:line="362" w:lineRule="auto" w:before="78"/>
      </w:pPr>
      <w:r>
        <w:rPr/>
        <w:pict>
          <v:rect style="position:absolute;margin-left:573.612pt;margin-top:28.999952pt;width:.80090pt;height:734.393799pt;mso-position-horizontal-relative:page;mso-position-vertical-relative:page;z-index:15731712" filled="true" fillcolor="#000000" stroked="false">
            <v:fill type="solid"/>
            <w10:wrap type="none"/>
          </v:rect>
        </w:pict>
      </w:r>
      <w:r>
        <w:rPr/>
        <w:pict>
          <v:rect style="position:absolute;margin-left:34.6063pt;margin-top:28.999952pt;width:.80090pt;height:734.393799pt;mso-position-horizontal-relative:page;mso-position-vertical-relative:page;z-index:15732224" filled="true" fillcolor="#000000" stroked="false">
            <v:fill type="solid"/>
            <w10:wrap type="none"/>
          </v:rect>
        </w:pict>
      </w:r>
      <w:r>
        <w:rPr>
          <w:spacing w:val="-2"/>
        </w:rPr>
        <w:t>于身住身念   兹路善修常如其亏正念   诸法尽沦亡寿命多灾厄   如风吹水泡若得瞬息停   卧起成希有卒归灰燥烂   粪秽难久持观身非实法   灭坏堕分离大地迷卢海   七日出烧燃</w:t>
      </w:r>
      <w:r>
        <w:rPr>
          <w:spacing w:val="-1"/>
        </w:rPr>
        <w:t>况此极微躯    那不成煨烬</w:t>
      </w:r>
    </w:p>
    <w:p>
      <w:pPr>
        <w:pStyle w:val="BodyText"/>
        <w:spacing w:line="362" w:lineRule="auto" w:before="2"/>
        <w:ind w:right="6243"/>
      </w:pPr>
      <w:r>
        <w:rPr>
          <w:spacing w:val="-1"/>
        </w:rPr>
        <w:t>如是无常亦非久   无归无救无家室生死胜人须厌背   并若芭蕉体无实</w:t>
      </w:r>
      <w:r>
        <w:rPr/>
        <w:t>海龟投木孔 一会甚难遭</w:t>
      </w:r>
    </w:p>
    <w:p>
      <w:pPr>
        <w:pStyle w:val="BodyText"/>
        <w:spacing w:line="362" w:lineRule="auto" w:before="0"/>
      </w:pPr>
      <w:r>
        <w:rPr>
          <w:spacing w:val="-2"/>
        </w:rPr>
        <w:t>弃畜成人体   恶行果还招金宝盘除粪   斯为是大痴若生人作罪   全成极憃儿生中依善友   及发于正愿先身为福业   四大轮全获佛言近善友   全梵行是亲善士依佛故   众多证圆寂邪见生鬼畜   泥黎法不闻边地蔑戾车   生便痴哑性或生长寿天   除八无暇过闲暇既已得   尔可务当生爱别老病死   斯等众苦处智者应生厌   说少过应听母或改为妇   父乃转成儿怨家翻作友   迁流无定规一一饮母乳   过于四海水</w:t>
      </w:r>
      <w:r>
        <w:rPr>
          <w:spacing w:val="-1"/>
        </w:rPr>
        <w:t>转受异生身    更饮多于彼</w:t>
      </w:r>
    </w:p>
    <w:p>
      <w:pPr>
        <w:pStyle w:val="BodyText"/>
        <w:spacing w:line="362" w:lineRule="auto" w:before="4"/>
        <w:ind w:right="6243"/>
      </w:pPr>
      <w:r>
        <w:rPr>
          <w:spacing w:val="-1"/>
        </w:rPr>
        <w:t>过去一一生身骨   展转积若妙高山地土丸为酸枣核   数己形躯岂尽边</w:t>
      </w:r>
      <w:r>
        <w:rPr/>
        <w:t>梵主世皆供 业力终沦地</w:t>
      </w:r>
    </w:p>
    <w:p>
      <w:pPr>
        <w:spacing w:after="0" w:line="362" w:lineRule="auto"/>
        <w:sectPr>
          <w:pgSz w:w="12240" w:h="15840"/>
          <w:pgMar w:top="580" w:bottom="280" w:left="580" w:right="640"/>
        </w:sectPr>
      </w:pPr>
    </w:p>
    <w:p>
      <w:pPr>
        <w:pStyle w:val="BodyText"/>
        <w:tabs>
          <w:tab w:pos="2612" w:val="left" w:leader="none"/>
        </w:tabs>
        <w:spacing w:before="79"/>
        <w:ind w:right="0"/>
        <w:jc w:val="left"/>
      </w:pPr>
      <w:r>
        <w:rPr/>
        <w:pict>
          <v:rect style="position:absolute;margin-left:573.612pt;margin-top:28.999975pt;width:.80090pt;height:734.393999pt;mso-position-horizontal-relative:page;mso-position-vertical-relative:page;z-index:15732736" filled="true" fillcolor="#000000" stroked="false">
            <v:fill type="solid"/>
            <w10:wrap type="none"/>
          </v:rect>
        </w:pict>
      </w:r>
      <w:r>
        <w:rPr/>
        <w:pict>
          <v:rect style="position:absolute;margin-left:34.6063pt;margin-top:28.999975pt;width:.80090pt;height:734.393999pt;mso-position-horizontal-relative:page;mso-position-vertical-relative:page;z-index:15733248" filled="true" fillcolor="#000000" stroked="false">
            <v:fill type="solid"/>
            <w10:wrap type="none"/>
          </v:rect>
        </w:pict>
      </w:r>
      <w:r>
        <w:rPr/>
        <w:t>纵绍转轮王</w:t>
        <w:tab/>
        <w:t>回身化奴使</w:t>
      </w:r>
    </w:p>
    <w:p>
      <w:pPr>
        <w:pStyle w:val="BodyText"/>
        <w:tabs>
          <w:tab w:pos="2612" w:val="left" w:leader="none"/>
          <w:tab w:pos="3092" w:val="left" w:leader="none"/>
          <w:tab w:pos="3332" w:val="left" w:leader="none"/>
        </w:tabs>
        <w:spacing w:line="362" w:lineRule="auto" w:before="157"/>
        <w:ind w:right="6003"/>
        <w:jc w:val="left"/>
      </w:pPr>
      <w:r>
        <w:rPr/>
        <w:t>三十三天中妓女乐</w:t>
        <w:tab/>
        <w:tab/>
        <w:t>多时受已堕泥</w:t>
      </w:r>
      <w:r>
        <w:rPr>
          <w:spacing w:val="-15"/>
        </w:rPr>
        <w:t>黎</w:t>
      </w:r>
      <w:r>
        <w:rPr/>
        <w:t>速疾碜毒经诸苦</w:t>
        <w:tab/>
        <w:t>磨身碎体镇号啼     妙高岑受乐</w:t>
        <w:tab/>
        <w:t>地软随其足</w:t>
      </w:r>
    </w:p>
    <w:p>
      <w:pPr>
        <w:pStyle w:val="BodyText"/>
        <w:spacing w:line="362" w:lineRule="auto"/>
      </w:pPr>
      <w:r>
        <w:rPr>
          <w:spacing w:val="-2"/>
        </w:rPr>
        <w:t>转受煻煨苦   行经粪屎狱欢喜芳园里   天女随游戏</w:t>
      </w:r>
      <w:r>
        <w:rPr>
          <w:spacing w:val="-1"/>
        </w:rPr>
        <w:t>堕落剑林中    截手足耳鼻</w:t>
      </w:r>
    </w:p>
    <w:p>
      <w:pPr>
        <w:pStyle w:val="BodyText"/>
        <w:spacing w:line="362" w:lineRule="auto" w:before="0"/>
        <w:ind w:right="6243"/>
      </w:pPr>
      <w:r>
        <w:rPr>
          <w:spacing w:val="-1"/>
        </w:rPr>
        <w:t>或入曼陀妙池浴   天女金花艳彩容舍身更受泥黎苦   热焰难当灰涧中</w:t>
      </w:r>
      <w:r>
        <w:rPr/>
        <w:t>欲天受法乐 除贪大梵天</w:t>
      </w:r>
    </w:p>
    <w:p>
      <w:pPr>
        <w:pStyle w:val="BodyText"/>
        <w:spacing w:line="362" w:lineRule="auto"/>
      </w:pPr>
      <w:r>
        <w:rPr>
          <w:spacing w:val="-2"/>
        </w:rPr>
        <w:t>更堕阿毗止   薪焰苦恒连或生居日月   身光遍四洲一朝归黑闇   展手见无由三种灯明福   死后可持将独入无边闇   日月不流光有命黑绳热   合叫无间下</w:t>
      </w:r>
      <w:r>
        <w:rPr>
          <w:spacing w:val="-1"/>
        </w:rPr>
        <w:t>斯等恒缠苦    烧诸行恶者</w:t>
      </w:r>
    </w:p>
    <w:p>
      <w:pPr>
        <w:pStyle w:val="BodyText"/>
        <w:spacing w:line="362" w:lineRule="auto"/>
        <w:ind w:right="6211"/>
      </w:pPr>
      <w:r>
        <w:rPr>
          <w:spacing w:val="-1"/>
        </w:rPr>
        <w:t>或若麻床[打-丁+此]   或粉如细末</w:t>
      </w:r>
      <w:r>
        <w:rPr/>
        <w:t>如利斧斫木 犹如锯解割</w:t>
      </w:r>
    </w:p>
    <w:p>
      <w:pPr>
        <w:pStyle w:val="BodyText"/>
        <w:spacing w:line="362" w:lineRule="auto"/>
      </w:pPr>
      <w:r>
        <w:rPr>
          <w:spacing w:val="-2"/>
        </w:rPr>
        <w:t>猛火恒煎煮   令饮热铜浆驱令上剑刺   叉身热铁床或时高举手   铁牙猛狗餐鹰鸟觜爪利   任彼啅心肝虻蝇及诸虫   其数过千亿</w:t>
      </w:r>
      <w:r>
        <w:rPr>
          <w:spacing w:val="-1"/>
        </w:rPr>
        <w:t>利觜唼身躯    急堕皆餐食</w:t>
      </w:r>
    </w:p>
    <w:p>
      <w:pPr>
        <w:pStyle w:val="BodyText"/>
        <w:spacing w:line="362" w:lineRule="auto"/>
        <w:ind w:right="6243"/>
      </w:pPr>
      <w:r>
        <w:rPr/>
        <w:t>若人具造众罪业   闻苦身自不干堕如此顽騃金刚性   气尽泥犁遭猛火时观尽变闻应念   读诵经论常寻鞠泥犁听响已惊惶   如何遣当斯异熟于诸乐中谁是最   爱尽无生乐最精于众苦内谁为极 无间泥犁苦极成</w:t>
      </w:r>
    </w:p>
    <w:p>
      <w:pPr>
        <w:spacing w:after="0" w:line="362" w:lineRule="auto"/>
        <w:sectPr>
          <w:pgSz w:w="12240" w:h="15840"/>
          <w:pgMar w:top="580" w:bottom="280" w:left="580" w:right="640"/>
        </w:sectPr>
      </w:pPr>
    </w:p>
    <w:p>
      <w:pPr>
        <w:pStyle w:val="BodyText"/>
        <w:spacing w:line="362" w:lineRule="auto" w:before="80"/>
      </w:pPr>
      <w:r>
        <w:rPr/>
        <w:pict>
          <v:rect style="position:absolute;margin-left:573.612pt;margin-top:29.000004pt;width:.80090pt;height:734.393999pt;mso-position-horizontal-relative:page;mso-position-vertical-relative:page;z-index:15733760" filled="true" fillcolor="#000000" stroked="false">
            <v:fill type="solid"/>
            <w10:wrap type="none"/>
          </v:rect>
        </w:pict>
      </w:r>
      <w:r>
        <w:rPr/>
        <w:pict>
          <v:rect style="position:absolute;margin-left:34.6063pt;margin-top:29.000004pt;width:.80090pt;height:734.393999pt;mso-position-horizontal-relative:page;mso-position-vertical-relative:page;z-index:15734272" filled="true" fillcolor="#000000" stroked="false">
            <v:fill type="solid"/>
            <w10:wrap type="none"/>
          </v:rect>
        </w:pict>
      </w:r>
      <w:r>
        <w:rPr/>
        <w:t>人间一日中   屡刺三百槊比地狱轻苦   毫分宁相捅此处受极苦   经百俱胝秋如其恶未尽   命舍定无由如是诸恶果   种由身语心尔勤随力护   轻尘恶勿侵或入傍生趣   杀缚苦恒亲远离于寂善   更互被艰辛或被杀缚苦   求珠尾角皮锥鞭钩斲顶   踏拍任他骑受鬼望不遂   无敌苦常临饥渴及冷热   困怖苦恒侵口小如针孔   腹大等山丘饥缠纵己粪   得少定无由形如枯杌树   皮方作衣服炬口夜夜然   飞蛾堕充食血脓诸不净   福少获无从更相口排逼   还餐瘿熟痈月下便招热   日中身遂寒望果唯空树   瞻江水剩干如是受众苦   经万五千年长时击身命   良由苦器坚若生饥鬼中   遭斯一味苦非贤涩者爱   佛说由悭垢生天虽受乐   福尽苦难思终归会坠堕   勿乐可应知厌坐衣沾垢   身光有变衰液下新流汗   头上故花萎如斯五相现   天众死无疑地居人若卒   闷乱改常仪若从天处堕 众善尽无余</w:t>
      </w:r>
    </w:p>
    <w:p>
      <w:pPr>
        <w:spacing w:after="0" w:line="362" w:lineRule="auto"/>
        <w:sectPr>
          <w:pgSz w:w="12240" w:h="15840"/>
          <w:pgMar w:top="580" w:bottom="280" w:left="580" w:right="640"/>
        </w:sectPr>
      </w:pPr>
    </w:p>
    <w:p>
      <w:pPr>
        <w:pStyle w:val="BodyText"/>
        <w:spacing w:line="362" w:lineRule="auto" w:before="80"/>
      </w:pPr>
      <w:r>
        <w:rPr/>
        <w:pict>
          <v:rect style="position:absolute;margin-left:573.612pt;margin-top:28.999523pt;width:.80090pt;height:734.393999pt;mso-position-horizontal-relative:page;mso-position-vertical-relative:page;z-index:15734784" filled="true" fillcolor="#000000" stroked="false">
            <v:fill type="solid"/>
            <w10:wrap type="none"/>
          </v:rect>
        </w:pict>
      </w:r>
      <w:r>
        <w:rPr/>
        <w:pict>
          <v:rect style="position:absolute;margin-left:34.6063pt;margin-top:28.999523pt;width:.80090pt;height:734.393999pt;mso-position-horizontal-relative:page;mso-position-vertical-relative:page;z-index:15735296" filled="true" fillcolor="#000000" stroked="false">
            <v:fill type="solid"/>
            <w10:wrap type="none"/>
          </v:rect>
        </w:pict>
      </w:r>
      <w:r>
        <w:rPr>
          <w:spacing w:val="-2"/>
        </w:rPr>
        <w:t>任落傍生鬼   泥犁随一居阿苏罗本性   纵令全觉慧</w:t>
      </w:r>
      <w:r>
        <w:rPr>
          <w:spacing w:val="-1"/>
        </w:rPr>
        <w:t>忿天生苦心    趣遮于见谛</w:t>
      </w:r>
    </w:p>
    <w:p>
      <w:pPr>
        <w:pStyle w:val="BodyText"/>
        <w:spacing w:line="362" w:lineRule="auto"/>
        <w:ind w:right="6243"/>
      </w:pPr>
      <w:r>
        <w:rPr>
          <w:spacing w:val="-1"/>
        </w:rPr>
        <w:t>如是漂流生死处   天人畜及阿苏罗下贱业生众苦器   鬼趣兼投捺落迦纵使烈火燃头上   遍身衣服焰皆通此苦无暇能除拂   无生住想涅槃中尔求尸罗及定慧   寂静调柔离垢殃涅槃无尽无老死   四大日月悉皆亡</w:t>
      </w:r>
      <w:r>
        <w:rPr/>
        <w:t>念择法勇进 定慧喜轻安</w:t>
      </w:r>
    </w:p>
    <w:p>
      <w:pPr>
        <w:pStyle w:val="BodyText"/>
        <w:spacing w:line="362" w:lineRule="auto"/>
      </w:pPr>
      <w:r>
        <w:rPr>
          <w:spacing w:val="-2"/>
        </w:rPr>
        <w:t>此七菩提分   能招妙涅槃无慧定非有   缺定慧便溺若其双运者   有海如牛迹十四不记法   日亲之所说于此勿应思   不能令觉灭从无知起业   由业复生识识缘于名色   名色生六处六处缘于触   触生缘于受受既缘于爱   由爱招于取取复缘于有   有复缘于生生缘于老死   忧病求不得轮回大苦蕴   斯应速断除如其生若灭   众苦珍无余最胜言教藏   深妙缘起门如能正见此   便观无上尊正见命正念   正定语业思此谓八圣道   为寂可修治无由集爱起   托身众苦生除斯证解脱   八圣道宜行即此瑜伽业   四种圣谛因</w:t>
      </w:r>
      <w:r>
        <w:rPr>
          <w:spacing w:val="-1"/>
        </w:rPr>
        <w:t>虽居舍严饰    智遮烦恼津</w:t>
      </w:r>
    </w:p>
    <w:p>
      <w:pPr>
        <w:spacing w:after="0" w:line="362" w:lineRule="auto"/>
        <w:sectPr>
          <w:pgSz w:w="12240" w:h="15840"/>
          <w:pgMar w:top="580" w:bottom="280" w:left="580" w:right="640"/>
        </w:sectPr>
      </w:pPr>
    </w:p>
    <w:p>
      <w:pPr>
        <w:pStyle w:val="BodyText"/>
        <w:spacing w:line="362" w:lineRule="auto" w:before="81"/>
      </w:pPr>
      <w:r>
        <w:rPr/>
        <w:pict>
          <v:group style="position:absolute;margin-left:34.6063pt;margin-top:28.999554pt;width:539.85pt;height:540.1pt;mso-position-horizontal-relative:page;mso-position-vertical-relative:page;z-index:-15878144" coordorigin="692,580" coordsize="10797,10802">
            <v:shape style="position:absolute;left:692;top:580;width:10797;height:10337" coordorigin="692,580" coordsize="10797,10337" path="m708,580l692,580,692,10917,708,10917,708,580xm11488,580l11472,580,11472,10917,11488,10917,11488,580xe" filled="true" fillcolor="#000000" stroked="false">
              <v:path arrowok="t"/>
              <v:fill type="solid"/>
            </v:shape>
            <v:rect style="position:absolute;left:692;top:10916;width:10797;height:465" filled="true" fillcolor="#ff9933" stroked="false">
              <v:fill type="solid"/>
            </v:rect>
            <v:rect style="position:absolute;left:700;top:10924;width:10781;height:449" filled="false" stroked="true" strokeweight=".80090pt" strokecolor="#000000">
              <v:stroke dashstyle="solid"/>
            </v:rect>
            <v:shape style="position:absolute;left:1252;top:9731;width:65;height:481" coordorigin="1253,9731" coordsize="65,481" path="m1317,10180l1315,10166,1309,10156,1299,10150,1285,10148,1271,10150,1261,10156,1255,10166,1253,10180,1255,10194,1261,10204,1271,10210,1285,10212,1299,10210,1309,10204,1315,10194,1317,10180xm1317,9763l1315,9749,1309,9739,1299,9733,1285,9731,1271,9733,1261,9739,1255,9749,1253,9763,1255,9777,1261,9787,1271,9793,1285,9795,1299,9793,1309,9787,1315,9777,1317,9763xe" filled="true" fillcolor="#000000" stroked="false">
              <v:path arrowok="t"/>
              <v:fill type="solid"/>
            </v:shape>
            <w10:wrap type="none"/>
          </v:group>
        </w:pict>
      </w:r>
      <w:r>
        <w:rPr/>
        <w:t>不从空处堕   如谷因地造诸先证法人   皆凡具烦恼何假多陈述   除恼略呈言事由情可伏   圣谈心是源如上所陈法   苾刍难总行随能修一事   勿令虚夭生众善皆随喜   妙行三自修回向为成佛   福聚令恒收后生寿无量   广度于天人犹如观自在 极难等怨亲</w:t>
      </w:r>
    </w:p>
    <w:p>
      <w:pPr>
        <w:pStyle w:val="BodyText"/>
        <w:spacing w:line="362" w:lineRule="auto" w:before="2"/>
        <w:ind w:right="6243"/>
      </w:pPr>
      <w:r>
        <w:rPr/>
        <w:t>生老病死三毒除   佛国托生为世父寿命时长量叵知   同彼大觉弥陀主开显尸罗及舍惠   天地虚空名遍彰大地居人及天众   勿使妖妍女爱伤烦恼羁缠有情众   绝流生死登正觉超度世间但有名 由获无生离尘浊</w:t>
      </w:r>
    </w:p>
    <w:p>
      <w:pPr>
        <w:pStyle w:val="BodyText"/>
        <w:spacing w:line="362" w:lineRule="auto" w:before="165"/>
        <w:ind w:left="449" w:right="589" w:firstLine="480"/>
        <w:jc w:val="left"/>
      </w:pPr>
      <w:r>
        <w:rPr/>
        <w:t>阿离野那伽曷树那菩提萨埵苏颉里蜜离佉了。(阿离野是圣。那伽是龙是象。曷树那义翻为猛。菩提萨埵谓是觉情。苏颉里即是亲密。离佉者书也。先云龙树者讹也)</w:t>
      </w:r>
    </w:p>
    <w:p>
      <w:pPr>
        <w:pStyle w:val="BodyText"/>
        <w:spacing w:before="2"/>
        <w:ind w:left="0" w:right="0"/>
        <w:jc w:val="left"/>
        <w:rPr>
          <w:sz w:val="26"/>
        </w:rPr>
      </w:pPr>
    </w:p>
    <w:p>
      <w:pPr>
        <w:pStyle w:val="BodyText"/>
        <w:spacing w:before="66"/>
        <w:ind w:left="873" w:right="0"/>
        <w:jc w:val="left"/>
      </w:pPr>
      <w:hyperlink r:id="rId5">
        <w:r>
          <w:rPr>
            <w:color w:val="878787"/>
          </w:rPr>
          <w:t>上一部：乾隆大藏经·西土圣贤撰集·劝发诸王要偈一卷</w:t>
        </w:r>
      </w:hyperlink>
    </w:p>
    <w:p>
      <w:pPr>
        <w:pStyle w:val="BodyText"/>
        <w:spacing w:before="109"/>
        <w:ind w:left="873" w:right="0"/>
        <w:jc w:val="left"/>
      </w:pPr>
      <w:hyperlink r:id="rId6">
        <w:r>
          <w:rPr>
            <w:color w:val="878787"/>
          </w:rPr>
          <w:t>下一部：乾隆大藏经·西土圣贤撰集·普贤金刚萨埵瑜伽念诵仪一卷</w:t>
        </w:r>
      </w:hyperlink>
    </w:p>
    <w:p>
      <w:pPr>
        <w:pStyle w:val="BodyText"/>
        <w:spacing w:before="0"/>
        <w:ind w:left="0" w:right="0"/>
        <w:jc w:val="left"/>
      </w:pPr>
    </w:p>
    <w:p>
      <w:pPr>
        <w:pStyle w:val="BodyText"/>
        <w:spacing w:before="6"/>
        <w:ind w:left="0" w:right="0"/>
        <w:jc w:val="left"/>
        <w:rPr>
          <w:sz w:val="29"/>
        </w:rPr>
      </w:pPr>
    </w:p>
    <w:p>
      <w:pPr>
        <w:pStyle w:val="BodyText"/>
        <w:ind w:left="2971" w:right="2968"/>
        <w:jc w:val="center"/>
      </w:pPr>
      <w:r>
        <w:rPr>
          <w:color w:val="DDDDDD"/>
        </w:rPr>
        <w:t>乾隆大藏经·西土圣贤撰集·龙树菩萨劝诫王颂</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en-US" w:eastAsia="zh-CN" w:bidi="ar-SA"/>
      </w:rPr>
    </w:lvl>
    <w:lvl w:ilvl="1">
      <w:start w:val="0"/>
      <w:numFmt w:val="bullet"/>
      <w:lvlText w:val="•"/>
      <w:lvlJc w:val="left"/>
      <w:pPr>
        <w:ind w:left="970" w:hanging="369"/>
      </w:pPr>
      <w:rPr>
        <w:rFonts w:hint="default"/>
        <w:lang w:val="en-US" w:eastAsia="zh-CN" w:bidi="ar-SA"/>
      </w:rPr>
    </w:lvl>
    <w:lvl w:ilvl="2">
      <w:start w:val="0"/>
      <w:numFmt w:val="bullet"/>
      <w:lvlText w:val="•"/>
      <w:lvlJc w:val="left"/>
      <w:pPr>
        <w:ind w:left="1300" w:hanging="369"/>
      </w:pPr>
      <w:rPr>
        <w:rFonts w:hint="default"/>
        <w:lang w:val="en-US" w:eastAsia="zh-CN" w:bidi="ar-SA"/>
      </w:rPr>
    </w:lvl>
    <w:lvl w:ilvl="3">
      <w:start w:val="0"/>
      <w:numFmt w:val="bullet"/>
      <w:lvlText w:val="•"/>
      <w:lvlJc w:val="left"/>
      <w:pPr>
        <w:ind w:left="1631" w:hanging="369"/>
      </w:pPr>
      <w:rPr>
        <w:rFonts w:hint="default"/>
        <w:lang w:val="en-US" w:eastAsia="zh-CN" w:bidi="ar-SA"/>
      </w:rPr>
    </w:lvl>
    <w:lvl w:ilvl="4">
      <w:start w:val="0"/>
      <w:numFmt w:val="bullet"/>
      <w:lvlText w:val="•"/>
      <w:lvlJc w:val="left"/>
      <w:pPr>
        <w:ind w:left="1961" w:hanging="369"/>
      </w:pPr>
      <w:rPr>
        <w:rFonts w:hint="default"/>
        <w:lang w:val="en-US" w:eastAsia="zh-CN" w:bidi="ar-SA"/>
      </w:rPr>
    </w:lvl>
    <w:lvl w:ilvl="5">
      <w:start w:val="0"/>
      <w:numFmt w:val="bullet"/>
      <w:lvlText w:val="•"/>
      <w:lvlJc w:val="left"/>
      <w:pPr>
        <w:ind w:left="2292" w:hanging="369"/>
      </w:pPr>
      <w:rPr>
        <w:rFonts w:hint="default"/>
        <w:lang w:val="en-US" w:eastAsia="zh-CN" w:bidi="ar-SA"/>
      </w:rPr>
    </w:lvl>
    <w:lvl w:ilvl="6">
      <w:start w:val="0"/>
      <w:numFmt w:val="bullet"/>
      <w:lvlText w:val="•"/>
      <w:lvlJc w:val="left"/>
      <w:pPr>
        <w:ind w:left="2622" w:hanging="369"/>
      </w:pPr>
      <w:rPr>
        <w:rFonts w:hint="default"/>
        <w:lang w:val="en-US" w:eastAsia="zh-CN" w:bidi="ar-SA"/>
      </w:rPr>
    </w:lvl>
    <w:lvl w:ilvl="7">
      <w:start w:val="0"/>
      <w:numFmt w:val="bullet"/>
      <w:lvlText w:val="•"/>
      <w:lvlJc w:val="left"/>
      <w:pPr>
        <w:ind w:left="2952" w:hanging="369"/>
      </w:pPr>
      <w:rPr>
        <w:rFonts w:hint="default"/>
        <w:lang w:val="en-US" w:eastAsia="zh-CN" w:bidi="ar-SA"/>
      </w:rPr>
    </w:lvl>
    <w:lvl w:ilvl="8">
      <w:start w:val="0"/>
      <w:numFmt w:val="bullet"/>
      <w:lvlText w:val="•"/>
      <w:lvlJc w:val="left"/>
      <w:pPr>
        <w:ind w:left="3283" w:hanging="369"/>
      </w:pPr>
      <w:rPr>
        <w:rFonts w:hint="default"/>
        <w:lang w:val="en-US" w:eastAsia="zh-CN" w:bidi="ar-SA"/>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en-US" w:eastAsia="zh-CN" w:bidi="ar-SA"/>
      </w:rPr>
    </w:lvl>
    <w:lvl w:ilvl="1">
      <w:start w:val="0"/>
      <w:numFmt w:val="bullet"/>
      <w:lvlText w:val="•"/>
      <w:lvlJc w:val="left"/>
      <w:pPr>
        <w:ind w:left="1188" w:hanging="369"/>
      </w:pPr>
      <w:rPr>
        <w:rFonts w:hint="default"/>
        <w:lang w:val="en-US" w:eastAsia="zh-CN" w:bidi="ar-SA"/>
      </w:rPr>
    </w:lvl>
    <w:lvl w:ilvl="2">
      <w:start w:val="0"/>
      <w:numFmt w:val="bullet"/>
      <w:lvlText w:val="•"/>
      <w:lvlJc w:val="left"/>
      <w:pPr>
        <w:ind w:left="1457" w:hanging="369"/>
      </w:pPr>
      <w:rPr>
        <w:rFonts w:hint="default"/>
        <w:lang w:val="en-US" w:eastAsia="zh-CN" w:bidi="ar-SA"/>
      </w:rPr>
    </w:lvl>
    <w:lvl w:ilvl="3">
      <w:start w:val="0"/>
      <w:numFmt w:val="bullet"/>
      <w:lvlText w:val="•"/>
      <w:lvlJc w:val="left"/>
      <w:pPr>
        <w:ind w:left="1726" w:hanging="369"/>
      </w:pPr>
      <w:rPr>
        <w:rFonts w:hint="default"/>
        <w:lang w:val="en-US" w:eastAsia="zh-CN" w:bidi="ar-SA"/>
      </w:rPr>
    </w:lvl>
    <w:lvl w:ilvl="4">
      <w:start w:val="0"/>
      <w:numFmt w:val="bullet"/>
      <w:lvlText w:val="•"/>
      <w:lvlJc w:val="left"/>
      <w:pPr>
        <w:ind w:left="1994" w:hanging="369"/>
      </w:pPr>
      <w:rPr>
        <w:rFonts w:hint="default"/>
        <w:lang w:val="en-US" w:eastAsia="zh-CN" w:bidi="ar-SA"/>
      </w:rPr>
    </w:lvl>
    <w:lvl w:ilvl="5">
      <w:start w:val="0"/>
      <w:numFmt w:val="bullet"/>
      <w:lvlText w:val="•"/>
      <w:lvlJc w:val="left"/>
      <w:pPr>
        <w:ind w:left="2263" w:hanging="369"/>
      </w:pPr>
      <w:rPr>
        <w:rFonts w:hint="default"/>
        <w:lang w:val="en-US" w:eastAsia="zh-CN" w:bidi="ar-SA"/>
      </w:rPr>
    </w:lvl>
    <w:lvl w:ilvl="6">
      <w:start w:val="0"/>
      <w:numFmt w:val="bullet"/>
      <w:lvlText w:val="•"/>
      <w:lvlJc w:val="left"/>
      <w:pPr>
        <w:ind w:left="2532" w:hanging="369"/>
      </w:pPr>
      <w:rPr>
        <w:rFonts w:hint="default"/>
        <w:lang w:val="en-US" w:eastAsia="zh-CN" w:bidi="ar-SA"/>
      </w:rPr>
    </w:lvl>
    <w:lvl w:ilvl="7">
      <w:start w:val="0"/>
      <w:numFmt w:val="bullet"/>
      <w:lvlText w:val="•"/>
      <w:lvlJc w:val="left"/>
      <w:pPr>
        <w:ind w:left="2800" w:hanging="369"/>
      </w:pPr>
      <w:rPr>
        <w:rFonts w:hint="default"/>
        <w:lang w:val="en-US" w:eastAsia="zh-CN" w:bidi="ar-SA"/>
      </w:rPr>
    </w:lvl>
    <w:lvl w:ilvl="8">
      <w:start w:val="0"/>
      <w:numFmt w:val="bullet"/>
      <w:lvlText w:val="•"/>
      <w:lvlJc w:val="left"/>
      <w:pPr>
        <w:ind w:left="3069" w:hanging="369"/>
      </w:pPr>
      <w:rPr>
        <w:rFonts w:hint="default"/>
        <w:lang w:val="en-US" w:eastAsia="zh-CN"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en-US" w:eastAsia="zh-CN" w:bidi="ar-SA"/>
    </w:rPr>
  </w:style>
  <w:style w:styleId="BodyText" w:type="paragraph">
    <w:name w:val="Body Text"/>
    <w:basedOn w:val="Normal"/>
    <w:uiPriority w:val="1"/>
    <w:qFormat/>
    <w:pPr>
      <w:spacing w:before="1"/>
      <w:ind w:left="930" w:right="7204"/>
      <w:jc w:val="both"/>
    </w:pPr>
    <w:rPr>
      <w:rFonts w:ascii="SimSun" w:hAnsi="SimSun" w:eastAsia="SimSun" w:cs="SimSun"/>
      <w:sz w:val="24"/>
      <w:szCs w:val="24"/>
      <w:lang w:val="en-US" w:eastAsia="zh-CN" w:bidi="ar-SA"/>
    </w:rPr>
  </w:style>
  <w:style w:styleId="ListParagraph" w:type="paragraph">
    <w:name w:val="List Paragraph"/>
    <w:basedOn w:val="Normal"/>
    <w:uiPriority w:val="1"/>
    <w:qFormat/>
    <w:pPr/>
    <w:rPr>
      <w:lang w:val="en-US" w:eastAsia="zh-CN" w:bidi="ar-SA"/>
    </w:rPr>
  </w:style>
  <w:style w:styleId="TableParagraph" w:type="paragraph">
    <w:name w:val="Table Paragraph"/>
    <w:basedOn w:val="Normal"/>
    <w:uiPriority w:val="1"/>
    <w:qFormat/>
    <w:pPr>
      <w:spacing w:before="70"/>
      <w:ind w:left="808"/>
    </w:pPr>
    <w:rPr>
      <w:rFonts w:ascii="SimSun" w:hAnsi="SimSun" w:eastAsia="SimSun" w:cs="SimSun"/>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33.htm" TargetMode="External"/><Relationship Id="rId6" Type="http://schemas.openxmlformats.org/officeDocument/2006/relationships/hyperlink" Target="http://qldzj.com/htmljw/1435.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2020-04-22T12:02:55Z</dcterms:created>
  <dcterms:modified xsi:type="dcterms:W3CDTF">2020-04-22T12:02:55Z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