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1021" w:hRule="atLeast"/>
        </w:trPr>
        <w:tc>
          <w:tcPr>
            <w:tcW w:w="10780" w:type="dxa"/>
            <w:shd w:val="clear" w:color="auto" w:fill="FF9933"/>
          </w:tcPr>
          <w:p>
            <w:pPr>
              <w:pStyle w:val="TableParagraph"/>
              <w:tabs>
                <w:tab w:pos="3346" w:val="left" w:leader="none"/>
                <w:tab w:pos="8288" w:val="left" w:leader="none"/>
              </w:tabs>
              <w:spacing w:line="213" w:lineRule="auto" w:before="113"/>
              <w:ind w:right="307"/>
              <w:jc w:val="center"/>
              <w:rPr>
                <w:sz w:val="24"/>
              </w:rPr>
            </w:pPr>
            <w:r>
              <w:rPr>
                <w:color w:val="DDDDDD"/>
                <w:sz w:val="24"/>
              </w:rPr>
              <w:t>西土圣贤撰集·第</w:t>
            </w:r>
            <w:r>
              <w:rPr>
                <w:color w:val="DDDDDD"/>
                <w:spacing w:val="8"/>
                <w:sz w:val="24"/>
              </w:rPr>
              <w:t>1444</w:t>
            </w:r>
            <w:r>
              <w:rPr>
                <w:color w:val="DDDDDD"/>
                <w:sz w:val="24"/>
              </w:rPr>
              <w:t>部</w:t>
              <w:tab/>
            </w:r>
            <w:r>
              <w:rPr>
                <w:color w:val="EDFFFF"/>
                <w:sz w:val="24"/>
              </w:rPr>
              <w:t>般若波罗蜜多理趣经大安乐不空三昧真</w:t>
              <w:tab/>
            </w:r>
            <w:r>
              <w:rPr>
                <w:color w:val="DDDDDD"/>
                <w:sz w:val="24"/>
              </w:rPr>
              <w:t>唐三藏阿目佉金刚</w:t>
            </w:r>
            <w:r>
              <w:rPr>
                <w:color w:val="DDDDDD"/>
                <w:spacing w:val="-15"/>
                <w:sz w:val="24"/>
              </w:rPr>
              <w:t>译</w:t>
            </w:r>
            <w:r>
              <w:rPr>
                <w:color w:val="EDFFFF"/>
                <w:sz w:val="24"/>
              </w:rPr>
              <w:t>实金刚菩萨等一十七圣大曼荼罗义述一</w:t>
            </w:r>
          </w:p>
          <w:p>
            <w:pPr>
              <w:pStyle w:val="TableParagraph"/>
              <w:spacing w:line="278" w:lineRule="exact"/>
              <w:ind w:left="18"/>
              <w:jc w:val="center"/>
              <w:rPr>
                <w:sz w:val="24"/>
              </w:rPr>
            </w:pPr>
            <w:r>
              <w:rPr>
                <w:color w:val="EDFFFF"/>
                <w:sz w:val="24"/>
              </w:rPr>
              <w:t>卷</w:t>
            </w:r>
          </w:p>
        </w:tc>
      </w:tr>
      <w:tr>
        <w:trPr>
          <w:trHeight w:val="1693"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jc w:val="both"/>
              <w:rPr>
                <w:sz w:val="24"/>
              </w:rPr>
            </w:pPr>
            <w:r>
              <w:rPr>
                <w:color w:val="FF3300"/>
                <w:sz w:val="24"/>
              </w:rPr>
              <w:t>般若波罗蜜多理趣经大安乐不空三昧真实金刚菩萨等一十七圣大曼荼罗义述</w:t>
            </w:r>
          </w:p>
        </w:tc>
      </w:tr>
      <w:tr>
        <w:trPr>
          <w:trHeight w:val="11802" w:hRule="atLeast"/>
        </w:trPr>
        <w:tc>
          <w:tcPr>
            <w:tcW w:w="10780" w:type="dxa"/>
            <w:tcBorders>
              <w:bottom w:val="nil"/>
            </w:tcBorders>
          </w:tcPr>
          <w:p>
            <w:pPr>
              <w:pStyle w:val="TableParagraph"/>
              <w:spacing w:before="5"/>
              <w:ind w:left="0"/>
              <w:rPr>
                <w:rFonts w:ascii="Times New Roman"/>
                <w:sz w:val="21"/>
              </w:rPr>
            </w:pPr>
          </w:p>
          <w:p>
            <w:pPr>
              <w:pStyle w:val="TableParagraph"/>
              <w:ind w:left="325" w:right="307"/>
              <w:jc w:val="center"/>
              <w:rPr>
                <w:sz w:val="24"/>
              </w:rPr>
            </w:pPr>
            <w:r>
              <w:rPr>
                <w:color w:val="FF3300"/>
                <w:sz w:val="24"/>
              </w:rPr>
              <w:t>般若波罗蜜多理趣经大安乐不空三昧真实金刚菩萨等一十七圣大曼荼罗义述</w:t>
            </w:r>
          </w:p>
          <w:p>
            <w:pPr>
              <w:pStyle w:val="TableParagraph"/>
              <w:spacing w:before="2"/>
              <w:ind w:left="0"/>
              <w:rPr>
                <w:rFonts w:ascii="Times New Roman"/>
                <w:sz w:val="26"/>
              </w:rPr>
            </w:pPr>
          </w:p>
          <w:p>
            <w:pPr>
              <w:pStyle w:val="TableParagraph"/>
              <w:spacing w:line="362" w:lineRule="auto"/>
              <w:ind w:right="339" w:firstLine="480"/>
              <w:rPr>
                <w:sz w:val="24"/>
              </w:rPr>
            </w:pPr>
            <w:r>
              <w:rPr>
                <w:sz w:val="24"/>
              </w:rPr>
              <w:t>尔时毗卢遮那如来。于他化自在天王宫。为诸大菩萨等。说此般若波罗蜜甚深理趣十七清净句门。盖是十七大菩萨三摩地之句义也。为令能住持者疾至菩提故。遂演此十七圣位大曼茶罗如来与诸大士等所说密语。依此修行速疾成就。何者为一十七圣。其一所谓大乐不空三昧真实金刚菩萨。盖表诸佛普贤之身。周遍器世间及有情世间。以其无边自在理常体寂不妄不坏故有是名 也。左持金刚铃是适悦义。置腰之左表大我焉。右持五股金刚杵是五智义。转拳向外示众生也。于曼茶罗据其中位。而总其众相。除是而有一十六位焉。盖正觉之径路。</w:t>
            </w:r>
          </w:p>
          <w:p>
            <w:pPr>
              <w:pStyle w:val="TableParagraph"/>
              <w:spacing w:before="161"/>
              <w:ind w:left="808"/>
              <w:rPr>
                <w:sz w:val="24"/>
              </w:rPr>
            </w:pPr>
            <w:r>
              <w:rPr>
                <w:sz w:val="24"/>
              </w:rPr>
              <w:t>其二所谓意生金刚菩萨。以大悲欲箭。害二乘心。所以手持是箭。而现其欲离俱幻平等智</w:t>
            </w:r>
          </w:p>
          <w:p>
            <w:pPr>
              <w:pStyle w:val="TableParagraph"/>
              <w:spacing w:before="158"/>
              <w:rPr>
                <w:sz w:val="24"/>
              </w:rPr>
            </w:pPr>
            <w:r>
              <w:rPr>
                <w:sz w:val="24"/>
              </w:rPr>
              <w:t>身。</w:t>
            </w:r>
          </w:p>
          <w:p>
            <w:pPr>
              <w:pStyle w:val="TableParagraph"/>
              <w:spacing w:before="6"/>
              <w:ind w:left="0"/>
              <w:rPr>
                <w:rFonts w:ascii="Times New Roman"/>
                <w:sz w:val="27"/>
              </w:rPr>
            </w:pPr>
          </w:p>
          <w:p>
            <w:pPr>
              <w:pStyle w:val="TableParagraph"/>
              <w:spacing w:line="362" w:lineRule="auto"/>
              <w:ind w:right="579" w:firstLine="480"/>
              <w:rPr>
                <w:sz w:val="24"/>
              </w:rPr>
            </w:pPr>
            <w:r>
              <w:rPr>
                <w:sz w:val="24"/>
              </w:rPr>
              <w:t>其三所谓髻利吉罗金刚菩萨。于中国之言名触。以不舍众生必令解脱故。欲明触性即菩提故。所以住抱持相。而现其触净俱幻平等智身。</w:t>
            </w:r>
          </w:p>
          <w:p>
            <w:pPr>
              <w:pStyle w:val="TableParagraph"/>
              <w:spacing w:line="362" w:lineRule="auto" w:before="161"/>
              <w:ind w:right="339" w:firstLine="480"/>
              <w:rPr>
                <w:sz w:val="24"/>
              </w:rPr>
            </w:pPr>
            <w:r>
              <w:rPr>
                <w:sz w:val="24"/>
              </w:rPr>
              <w:t>其四所谓悲愍金刚菩萨。以悲愍故。以爱念绳。普缚众生未至菩提。终不放舍。亦如摩竭大鱼吞啖所遇。一入口已更无免者。所以持此摩竭鱼幢。而现其爱缚舍离俱幻平等智身。</w:t>
            </w:r>
          </w:p>
          <w:p>
            <w:pPr>
              <w:pStyle w:val="TableParagraph"/>
              <w:spacing w:line="362" w:lineRule="auto" w:before="160"/>
              <w:ind w:right="579" w:firstLine="480"/>
              <w:rPr>
                <w:sz w:val="24"/>
              </w:rPr>
            </w:pPr>
            <w:r>
              <w:rPr>
                <w:sz w:val="24"/>
              </w:rPr>
              <w:t>其五所谓金刚慢菩萨。以无过上智。令一切众生悉证毗卢遮那如来体。于世出世间皆得自在。所以住傲诞威仪。而现其我无我俱幻平等智身。</w:t>
            </w:r>
          </w:p>
          <w:p>
            <w:pPr>
              <w:pStyle w:val="TableParagraph"/>
              <w:spacing w:line="362" w:lineRule="auto" w:before="161"/>
              <w:ind w:right="339" w:firstLine="480"/>
              <w:rPr>
                <w:sz w:val="24"/>
              </w:rPr>
            </w:pPr>
            <w:r>
              <w:rPr>
                <w:sz w:val="24"/>
              </w:rPr>
              <w:t>其六所谓金刚见菩萨。以寂照大慧之眼。于杂染界妙净土乃至真谛俗谛。唯见一切法胜义真实之谛。不散不动。所以持意生之契。而现其三昧之身。</w:t>
            </w:r>
          </w:p>
          <w:p>
            <w:pPr>
              <w:pStyle w:val="TableParagraph"/>
              <w:spacing w:line="362" w:lineRule="auto" w:before="177"/>
              <w:ind w:right="339" w:firstLine="480"/>
              <w:rPr>
                <w:sz w:val="24"/>
              </w:rPr>
            </w:pPr>
            <w:r>
              <w:rPr>
                <w:sz w:val="24"/>
              </w:rPr>
              <w:t>其七所谓金刚适悦菩萨。于身尘而得适悦清净。于生死解脱不厌不住。所以持触金刚相。而现其三昧之身。</w:t>
            </w:r>
          </w:p>
          <w:p>
            <w:pPr>
              <w:pStyle w:val="TableParagraph"/>
              <w:spacing w:line="362" w:lineRule="auto" w:before="160"/>
              <w:ind w:right="339" w:firstLine="480"/>
              <w:rPr>
                <w:sz w:val="24"/>
              </w:rPr>
            </w:pPr>
            <w:r>
              <w:rPr>
                <w:sz w:val="24"/>
              </w:rPr>
              <w:t>其八所谓金刚贪菩萨。即贪爱而得清净故。遂能以贪而积集一切功德智慧。疾证菩提。由住贪爱性故。所以持悲愍之契。而现其三昧之身。</w:t>
            </w:r>
          </w:p>
        </w:tc>
      </w:tr>
    </w:tbl>
    <w:p>
      <w:pPr>
        <w:spacing w:after="0" w:line="362" w:lineRule="auto"/>
        <w:rPr>
          <w:sz w:val="24"/>
        </w:rPr>
        <w:sectPr>
          <w:type w:val="continuous"/>
          <w:pgSz w:w="12240" w:h="15840"/>
          <w:pgMar w:top="700" w:bottom="280" w:left="580" w:right="640"/>
        </w:sectPr>
      </w:pPr>
    </w:p>
    <w:p>
      <w:pPr>
        <w:pStyle w:val="BodyText"/>
        <w:spacing w:line="362" w:lineRule="auto" w:before="81"/>
        <w:ind w:right="477"/>
      </w:pPr>
      <w:r>
        <w:rPr/>
        <w:pict>
          <v:group style="position:absolute;margin-left:34.6063pt;margin-top:28.999924pt;width:539.85pt;height:687.25pt;mso-position-horizontal-relative:page;mso-position-vertical-relative:page;z-index:-251739136" coordorigin="692,580" coordsize="10797,13745">
            <v:line style="position:absolute" from="11480,580" to="11480,13587" stroked="true" strokeweight=".80090pt" strokecolor="#000000">
              <v:stroke dashstyle="solid"/>
            </v:line>
            <v:line style="position:absolute" from="700,580" to="700,13587" stroked="true" strokeweight=".80090pt" strokecolor="#000000">
              <v:stroke dashstyle="solid"/>
            </v:line>
            <v:rect style="position:absolute;left:692;top:13587;width:10797;height:737" filled="true" fillcolor="#ff9933" stroked="false">
              <v:fill type="solid"/>
            </v:rect>
            <v:rect style="position:absolute;left:700;top:13595;width:10781;height:721" filled="false" stroked="true" strokeweight=".80090pt" strokecolor="#000000">
              <v:stroke dashstyle="solid"/>
            </v:rect>
            <v:shape style="position:absolute;left:1252;top:12417;width:65;height:481" coordorigin="1253,12418" coordsize="65,481" path="m1317,12866l1315,12852,1309,12842,1299,12836,1285,12834,1271,12836,1261,12842,1255,12852,1253,12866,1255,12880,1261,12890,1271,12896,1285,12898,1299,12896,1309,12890,1315,12880,1317,12866m1317,12450l1315,12436,1309,12426,1299,12420,1285,12418,1271,12420,1261,12426,1255,12436,1253,12450,1255,12464,1261,12474,1271,12480,1285,12482,1299,12480,1309,12474,1315,12464,1317,12450e" filled="true" fillcolor="#000000" stroked="false">
              <v:path arrowok="t"/>
              <v:fill type="solid"/>
            </v:shape>
            <w10:wrap type="none"/>
          </v:group>
        </w:pict>
      </w:r>
      <w:r>
        <w:rPr/>
        <w:t>其九所谓金刚自在菩萨。出入三界自在无畏。于生死涅槃而得大我之体。所以住金刚慢相。而现其三昧之身。</w:t>
      </w:r>
    </w:p>
    <w:p>
      <w:pPr>
        <w:pStyle w:val="BodyText"/>
        <w:spacing w:line="362" w:lineRule="auto"/>
        <w:ind w:right="717"/>
      </w:pPr>
      <w:r>
        <w:rPr/>
        <w:t>其十所谓金刚春菩萨。能以菩提觉花起供养云海。亦以方便授与众生作功德利。以花是春事。遂以名之。故亦持花以为其契。</w:t>
      </w:r>
    </w:p>
    <w:p>
      <w:pPr>
        <w:pStyle w:val="BodyText"/>
        <w:spacing w:line="362" w:lineRule="auto" w:before="161"/>
        <w:ind w:right="717"/>
      </w:pPr>
      <w:r>
        <w:rPr/>
        <w:t>其十一所谓金刚云菩萨。能以法泽慈云。滋润含识。亦以方便授诸身心使无始无明臭秽不善。化成无量供养香云。以炉烟像云。遂以为号。故持焚香之器以为契焉。</w:t>
      </w:r>
    </w:p>
    <w:p>
      <w:pPr>
        <w:pStyle w:val="BodyText"/>
        <w:spacing w:line="362" w:lineRule="auto"/>
        <w:ind w:right="477"/>
      </w:pPr>
      <w:r>
        <w:rPr/>
        <w:t>其十二所谓金刚秋菩萨。常以智灯破诸黑暗。亦以方便授与众生。起无量光明供养云海。以其空色清爽莫如秋时。欲表智光之体。遂以名之。故执灯明以为其契。</w:t>
      </w:r>
    </w:p>
    <w:p>
      <w:pPr>
        <w:pStyle w:val="BodyText"/>
        <w:spacing w:line="362" w:lineRule="auto" w:before="161"/>
        <w:ind w:right="477"/>
      </w:pPr>
      <w:r>
        <w:rPr/>
        <w:t>其十三所谓金刚霜雪菩萨。能以五无漏蕴香。涂众生心体。灭烦恼之秽热。成五分法身之 香。亦以方便授与众生。起涂香供养云海。以栴檀涂香解诸毒热有似霜雪。遂以名之。故执涂香以为其契。</w:t>
      </w:r>
    </w:p>
    <w:p>
      <w:pPr>
        <w:pStyle w:val="BodyText"/>
        <w:spacing w:line="362" w:lineRule="auto" w:before="161"/>
        <w:ind w:right="477"/>
      </w:pPr>
      <w:r>
        <w:rPr/>
        <w:t>其十四所谓金刚色菩萨。以色清净智。于净妙界起受用色身。于杂染界起变化色身。而为摄来之事。故以持钩为契。</w:t>
      </w:r>
    </w:p>
    <w:p>
      <w:pPr>
        <w:pStyle w:val="BodyText"/>
        <w:spacing w:line="362" w:lineRule="auto"/>
        <w:ind w:right="477"/>
      </w:pPr>
      <w:r>
        <w:rPr/>
        <w:t>其十五所谓金刚声菩萨。以声清净智。能表六十四种梵音。普周法界而为引入之事。故持索以为契。</w:t>
      </w:r>
    </w:p>
    <w:p>
      <w:pPr>
        <w:pStyle w:val="BodyText"/>
        <w:spacing w:line="362" w:lineRule="auto" w:before="177"/>
        <w:ind w:right="717"/>
      </w:pPr>
      <w:r>
        <w:rPr/>
        <w:t>其十六所谓金刚香菩萨。以香清净智。发金刚界自然名称之香。入一切散动心以为止留之事。故以持锁为契。</w:t>
      </w:r>
    </w:p>
    <w:p>
      <w:pPr>
        <w:pStyle w:val="BodyText"/>
        <w:ind w:left="930" w:firstLine="0"/>
      </w:pPr>
      <w:r>
        <w:rPr/>
        <w:t>其十七所谓金刚味菩萨。以味清净智。持瑜伽三摩地无上法味。以为欢乐之事。故持铃为</w:t>
      </w:r>
    </w:p>
    <w:p>
      <w:pPr>
        <w:pStyle w:val="BodyText"/>
        <w:spacing w:before="158"/>
        <w:ind w:firstLine="0"/>
      </w:pPr>
      <w:r>
        <w:rPr/>
        <w:t>契。</w:t>
      </w:r>
    </w:p>
    <w:p>
      <w:pPr>
        <w:pStyle w:val="BodyText"/>
        <w:spacing w:before="7"/>
        <w:ind w:left="0" w:firstLine="0"/>
        <w:rPr>
          <w:sz w:val="19"/>
        </w:rPr>
      </w:pPr>
    </w:p>
    <w:p>
      <w:pPr>
        <w:pStyle w:val="BodyText"/>
        <w:spacing w:line="362" w:lineRule="auto" w:before="66"/>
        <w:ind w:right="477"/>
      </w:pPr>
      <w:r>
        <w:rPr/>
        <w:t>如是等大菩萨十七清净三摩地智。依文广述。有无量名义体用理事成证之门。今但粗举纲目而已。</w:t>
      </w:r>
    </w:p>
    <w:p>
      <w:pPr>
        <w:pStyle w:val="BodyText"/>
        <w:spacing w:before="1"/>
        <w:ind w:left="0" w:firstLine="0"/>
        <w:rPr>
          <w:sz w:val="26"/>
        </w:rPr>
      </w:pPr>
    </w:p>
    <w:p>
      <w:pPr>
        <w:pStyle w:val="BodyText"/>
        <w:spacing w:line="324" w:lineRule="auto" w:before="67"/>
        <w:ind w:left="873" w:right="1735" w:firstLine="0"/>
      </w:pPr>
      <w:hyperlink r:id="rId5">
        <w:r>
          <w:rPr>
            <w:color w:val="878787"/>
          </w:rPr>
          <w:t>上一部：乾隆大藏经·西土圣贤撰集·大方广佛华严经入法界品四十二字观一卷</w:t>
        </w:r>
      </w:hyperlink>
      <w:hyperlink r:id="rId6">
        <w:r>
          <w:rPr>
            <w:color w:val="878787"/>
          </w:rPr>
          <w:t>下一部：乾隆大藏经·西土圣贤撰集·陀罗尼门诸部要目一卷</w:t>
        </w:r>
      </w:hyperlink>
    </w:p>
    <w:p>
      <w:pPr>
        <w:pStyle w:val="BodyText"/>
        <w:spacing w:before="0"/>
        <w:ind w:left="0" w:firstLine="0"/>
      </w:pPr>
    </w:p>
    <w:p>
      <w:pPr>
        <w:pStyle w:val="BodyText"/>
        <w:spacing w:before="0"/>
        <w:ind w:left="0" w:firstLine="0"/>
        <w:rPr>
          <w:sz w:val="22"/>
        </w:rPr>
      </w:pPr>
    </w:p>
    <w:p>
      <w:pPr>
        <w:pStyle w:val="BodyText"/>
        <w:spacing w:line="213" w:lineRule="auto" w:before="0"/>
        <w:ind w:left="5271" w:right="220" w:hanging="5046"/>
      </w:pPr>
      <w:r>
        <w:rPr>
          <w:color w:val="DDDDDD"/>
        </w:rPr>
        <w:t>乾隆大藏经·西土圣贤撰集·般若波罗蜜多理趣经大安乐不空三昧真实金刚菩萨等一十七圣大曼荼罗义述</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0"/>
      <w:ind w:left="449"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3.htm" TargetMode="External"/><Relationship Id="rId6" Type="http://schemas.openxmlformats.org/officeDocument/2006/relationships/hyperlink" Target="http://qldzj.com/htmljw/144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2020-04-22T12:05:22Z</dcterms:created>
  <dcterms:modified xsi:type="dcterms:W3CDTF">2020-04-22T12:05:22Z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