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32"/>
        <w:gridCol w:w="1359"/>
        <w:gridCol w:w="3232"/>
        <w:gridCol w:w="3760"/>
      </w:tblGrid>
      <w:tr>
        <w:trPr>
          <w:trHeight w:val="748" w:hRule="atLeast"/>
        </w:trPr>
        <w:tc>
          <w:tcPr>
            <w:tcW w:w="3791" w:type="dxa"/>
            <w:gridSpan w:val="2"/>
            <w:tcBorders>
              <w:top w:val="single" w:sz="8" w:space="0" w:color="000000"/>
              <w:left w:val="single" w:sz="8" w:space="0" w:color="000000"/>
              <w:bottom w:val="single" w:sz="8" w:space="0" w:color="000000"/>
            </w:tcBorders>
            <w:shd w:val="clear" w:color="auto" w:fill="FF9933"/>
          </w:tcPr>
          <w:p>
            <w:pPr>
              <w:pStyle w:val="TableParagraph"/>
              <w:spacing w:before="86"/>
              <w:ind w:left="327"/>
              <w:rPr>
                <w:sz w:val="24"/>
              </w:rPr>
            </w:pPr>
            <w:r>
              <w:rPr>
                <w:color w:val="DDDDDD"/>
                <w:sz w:val="24"/>
              </w:rPr>
              <w:t>西土圣贤撰集·第1449部</w:t>
            </w:r>
          </w:p>
        </w:tc>
        <w:tc>
          <w:tcPr>
            <w:tcW w:w="3232" w:type="dxa"/>
            <w:tcBorders>
              <w:top w:val="single" w:sz="8" w:space="0" w:color="000000"/>
              <w:bottom w:val="single" w:sz="8" w:space="0" w:color="000000"/>
            </w:tcBorders>
            <w:shd w:val="clear" w:color="auto" w:fill="FF9933"/>
          </w:tcPr>
          <w:p>
            <w:pPr>
              <w:pStyle w:val="TableParagraph"/>
              <w:spacing w:before="86"/>
              <w:ind w:left="509" w:right="522"/>
              <w:jc w:val="center"/>
              <w:rPr>
                <w:sz w:val="24"/>
              </w:rPr>
            </w:pPr>
            <w:r>
              <w:rPr>
                <w:color w:val="EDFFFF"/>
                <w:sz w:val="24"/>
              </w:rPr>
              <w:t>一百五十赞佛颂一卷</w:t>
            </w:r>
          </w:p>
        </w:tc>
        <w:tc>
          <w:tcPr>
            <w:tcW w:w="3760" w:type="dxa"/>
            <w:tcBorders>
              <w:top w:val="single" w:sz="8" w:space="0" w:color="000000"/>
              <w:bottom w:val="single" w:sz="8" w:space="0" w:color="000000"/>
              <w:right w:val="single" w:sz="8" w:space="0" w:color="000000"/>
            </w:tcBorders>
            <w:shd w:val="clear" w:color="auto" w:fill="FF9933"/>
          </w:tcPr>
          <w:p>
            <w:pPr>
              <w:pStyle w:val="TableParagraph"/>
              <w:spacing w:line="290" w:lineRule="exact" w:before="86"/>
              <w:ind w:right="310"/>
              <w:jc w:val="right"/>
              <w:rPr>
                <w:sz w:val="24"/>
              </w:rPr>
            </w:pPr>
            <w:r>
              <w:rPr>
                <w:color w:val="DDDDDD"/>
                <w:sz w:val="24"/>
              </w:rPr>
              <w:t>尊者摩咥里制吒造唐沙门义</w:t>
            </w:r>
          </w:p>
          <w:p>
            <w:pPr>
              <w:pStyle w:val="TableParagraph"/>
              <w:spacing w:line="290" w:lineRule="exact"/>
              <w:ind w:right="310"/>
              <w:jc w:val="right"/>
              <w:rPr>
                <w:sz w:val="24"/>
              </w:rPr>
            </w:pPr>
            <w:r>
              <w:rPr>
                <w:color w:val="DDDDDD"/>
                <w:sz w:val="24"/>
              </w:rPr>
              <w:t>净译</w:t>
            </w:r>
          </w:p>
        </w:tc>
      </w:tr>
      <w:tr>
        <w:trPr>
          <w:trHeight w:val="1149" w:hRule="atLeast"/>
        </w:trPr>
        <w:tc>
          <w:tcPr>
            <w:tcW w:w="2432" w:type="dxa"/>
            <w:tcBorders>
              <w:top w:val="single" w:sz="8" w:space="0" w:color="000000"/>
              <w:left w:val="single" w:sz="8" w:space="0" w:color="000000"/>
              <w:bottom w:val="single" w:sz="8" w:space="0" w:color="000000"/>
            </w:tcBorders>
          </w:tcPr>
          <w:p>
            <w:pPr>
              <w:pStyle w:val="TableParagraph"/>
              <w:numPr>
                <w:ilvl w:val="0"/>
                <w:numId w:val="1"/>
              </w:numPr>
              <w:tabs>
                <w:tab w:pos="912" w:val="left" w:leader="none"/>
              </w:tabs>
              <w:spacing w:line="240" w:lineRule="auto" w:before="86" w:after="0"/>
              <w:ind w:left="911" w:right="0" w:hanging="369"/>
              <w:jc w:val="left"/>
              <w:rPr>
                <w:sz w:val="24"/>
              </w:rPr>
            </w:pPr>
            <w:r>
              <w:rPr>
                <w:color w:val="FF3300"/>
                <w:spacing w:val="2"/>
                <w:sz w:val="24"/>
              </w:rPr>
              <w:t>经名 </w:t>
            </w:r>
            <w:r>
              <w:rPr>
                <w:color w:val="FF3300"/>
                <w:sz w:val="24"/>
              </w:rPr>
              <w:t>·</w:t>
            </w:r>
            <w:r>
              <w:rPr>
                <w:color w:val="FF3300"/>
                <w:spacing w:val="2"/>
                <w:sz w:val="24"/>
              </w:rPr>
              <w:t> 卷数</w:t>
            </w:r>
          </w:p>
          <w:p>
            <w:pPr>
              <w:pStyle w:val="TableParagraph"/>
              <w:spacing w:before="4"/>
              <w:rPr>
                <w:rFonts w:ascii="Times New Roman"/>
                <w:sz w:val="30"/>
              </w:rPr>
            </w:pPr>
          </w:p>
          <w:p>
            <w:pPr>
              <w:pStyle w:val="TableParagraph"/>
              <w:ind w:left="543"/>
              <w:rPr>
                <w:sz w:val="24"/>
              </w:rPr>
            </w:pPr>
            <w:r>
              <w:rPr>
                <w:color w:val="FF3300"/>
                <w:sz w:val="24"/>
              </w:rPr>
              <w:t>一百五十赞佛颂</w:t>
            </w:r>
          </w:p>
        </w:tc>
        <w:tc>
          <w:tcPr>
            <w:tcW w:w="1359" w:type="dxa"/>
            <w:tcBorders>
              <w:top w:val="single" w:sz="8" w:space="0" w:color="000000"/>
              <w:bottom w:val="single" w:sz="8" w:space="0" w:color="000000"/>
            </w:tcBorders>
          </w:tcPr>
          <w:p>
            <w:pPr>
              <w:pStyle w:val="TableParagraph"/>
              <w:numPr>
                <w:ilvl w:val="0"/>
                <w:numId w:val="2"/>
              </w:numPr>
              <w:tabs>
                <w:tab w:pos="444" w:val="left" w:leader="none"/>
              </w:tabs>
              <w:spacing w:line="240" w:lineRule="auto" w:before="86" w:after="0"/>
              <w:ind w:left="443" w:right="0" w:hanging="369"/>
              <w:jc w:val="left"/>
              <w:rPr>
                <w:sz w:val="24"/>
              </w:rPr>
            </w:pPr>
            <w:r>
              <w:rPr>
                <w:color w:val="FF3300"/>
                <w:sz w:val="24"/>
              </w:rPr>
              <w:t>跋序</w:t>
            </w:r>
          </w:p>
        </w:tc>
        <w:tc>
          <w:tcPr>
            <w:tcW w:w="3232" w:type="dxa"/>
            <w:tcBorders>
              <w:top w:val="single" w:sz="8" w:space="0" w:color="000000"/>
              <w:bottom w:val="single" w:sz="8" w:space="0" w:color="000000"/>
            </w:tcBorders>
          </w:tcPr>
          <w:p>
            <w:pPr>
              <w:pStyle w:val="TableParagraph"/>
              <w:numPr>
                <w:ilvl w:val="0"/>
                <w:numId w:val="3"/>
              </w:numPr>
              <w:tabs>
                <w:tab w:pos="472" w:val="left" w:leader="none"/>
              </w:tabs>
              <w:spacing w:line="290" w:lineRule="exact" w:before="86" w:after="0"/>
              <w:ind w:left="471" w:right="0" w:hanging="369"/>
              <w:jc w:val="left"/>
              <w:rPr>
                <w:sz w:val="24"/>
              </w:rPr>
            </w:pPr>
            <w:r>
              <w:rPr>
                <w:color w:val="993300"/>
                <w:spacing w:val="2"/>
                <w:sz w:val="24"/>
              </w:rPr>
              <w:t>品名 </w:t>
            </w:r>
            <w:r>
              <w:rPr>
                <w:color w:val="993300"/>
                <w:sz w:val="24"/>
              </w:rPr>
              <w:t>·</w:t>
            </w:r>
            <w:r>
              <w:rPr>
                <w:color w:val="993300"/>
                <w:spacing w:val="2"/>
                <w:sz w:val="24"/>
              </w:rPr>
              <w:t> 品数</w:t>
            </w:r>
          </w:p>
          <w:p>
            <w:pPr>
              <w:pStyle w:val="TableParagraph"/>
              <w:numPr>
                <w:ilvl w:val="0"/>
                <w:numId w:val="3"/>
              </w:numPr>
              <w:tabs>
                <w:tab w:pos="472" w:val="left" w:leader="none"/>
              </w:tabs>
              <w:spacing w:line="290" w:lineRule="exact" w:before="0" w:after="0"/>
              <w:ind w:left="471" w:right="0" w:hanging="369"/>
              <w:jc w:val="left"/>
              <w:rPr>
                <w:sz w:val="24"/>
              </w:rPr>
            </w:pPr>
            <w:r>
              <w:rPr>
                <w:color w:val="993300"/>
                <w:sz w:val="24"/>
              </w:rPr>
              <w:t>译作者</w:t>
            </w:r>
          </w:p>
        </w:tc>
        <w:tc>
          <w:tcPr>
            <w:tcW w:w="3760" w:type="dxa"/>
            <w:tcBorders>
              <w:top w:val="single" w:sz="8" w:space="0" w:color="000000"/>
              <w:bottom w:val="single" w:sz="8" w:space="0" w:color="000000"/>
              <w:right w:val="single" w:sz="8" w:space="0" w:color="000000"/>
            </w:tcBorders>
          </w:tcPr>
          <w:p>
            <w:pPr>
              <w:pStyle w:val="TableParagraph"/>
              <w:spacing w:line="213" w:lineRule="auto" w:before="113"/>
              <w:ind w:left="2184" w:right="362"/>
              <w:rPr>
                <w:sz w:val="24"/>
              </w:rPr>
            </w:pPr>
            <w:r>
              <w:rPr>
                <w:sz w:val="24"/>
              </w:rPr>
              <w:t>字体：</w:t>
            </w:r>
            <w:r>
              <w:rPr>
                <w:color w:val="FF3300"/>
                <w:sz w:val="24"/>
              </w:rPr>
              <w:t>大号中号 小号</w:t>
            </w:r>
          </w:p>
        </w:tc>
      </w:tr>
      <w:tr>
        <w:trPr>
          <w:trHeight w:val="712" w:hRule="atLeast"/>
        </w:trPr>
        <w:tc>
          <w:tcPr>
            <w:tcW w:w="2432" w:type="dxa"/>
            <w:tcBorders>
              <w:top w:val="single" w:sz="8" w:space="0" w:color="000000"/>
              <w:left w:val="single" w:sz="8" w:space="0" w:color="000000"/>
            </w:tcBorders>
          </w:tcPr>
          <w:p>
            <w:pPr>
              <w:pStyle w:val="TableParagraph"/>
              <w:rPr>
                <w:rFonts w:ascii="Times New Roman"/>
                <w:sz w:val="24"/>
              </w:rPr>
            </w:pPr>
          </w:p>
        </w:tc>
        <w:tc>
          <w:tcPr>
            <w:tcW w:w="1359" w:type="dxa"/>
            <w:tcBorders>
              <w:top w:val="single" w:sz="8" w:space="0" w:color="000000"/>
            </w:tcBorders>
          </w:tcPr>
          <w:p>
            <w:pPr>
              <w:pStyle w:val="TableParagraph"/>
              <w:rPr>
                <w:rFonts w:ascii="Times New Roman"/>
                <w:sz w:val="24"/>
              </w:rPr>
            </w:pPr>
          </w:p>
        </w:tc>
        <w:tc>
          <w:tcPr>
            <w:tcW w:w="3232" w:type="dxa"/>
            <w:tcBorders>
              <w:top w:val="single" w:sz="8" w:space="0" w:color="000000"/>
            </w:tcBorders>
          </w:tcPr>
          <w:p>
            <w:pPr>
              <w:pStyle w:val="TableParagraph"/>
              <w:spacing w:before="5"/>
              <w:rPr>
                <w:rFonts w:ascii="Times New Roman"/>
                <w:sz w:val="21"/>
              </w:rPr>
            </w:pPr>
          </w:p>
          <w:p>
            <w:pPr>
              <w:pStyle w:val="TableParagraph"/>
              <w:ind w:left="509" w:right="522"/>
              <w:jc w:val="center"/>
              <w:rPr>
                <w:sz w:val="24"/>
              </w:rPr>
            </w:pPr>
            <w:r>
              <w:rPr>
                <w:color w:val="FF3300"/>
                <w:sz w:val="24"/>
              </w:rPr>
              <w:t>一百五十赞佛颂</w:t>
            </w:r>
          </w:p>
        </w:tc>
        <w:tc>
          <w:tcPr>
            <w:tcW w:w="3760" w:type="dxa"/>
            <w:tcBorders>
              <w:top w:val="single" w:sz="8" w:space="0" w:color="000000"/>
              <w:right w:val="single" w:sz="8" w:space="0" w:color="000000"/>
            </w:tcBorders>
          </w:tcPr>
          <w:p>
            <w:pPr>
              <w:pStyle w:val="TableParagraph"/>
              <w:rPr>
                <w:rFonts w:ascii="Times New Roman"/>
                <w:sz w:val="24"/>
              </w:rPr>
            </w:pPr>
          </w:p>
        </w:tc>
      </w:tr>
      <w:tr>
        <w:trPr>
          <w:trHeight w:val="536" w:hRule="atLeast"/>
        </w:trPr>
        <w:tc>
          <w:tcPr>
            <w:tcW w:w="2432" w:type="dxa"/>
            <w:tcBorders>
              <w:left w:val="single" w:sz="8" w:space="0" w:color="000000"/>
            </w:tcBorders>
          </w:tcPr>
          <w:p>
            <w:pPr>
              <w:pStyle w:val="TableParagraph"/>
              <w:spacing w:before="142"/>
              <w:ind w:right="410"/>
              <w:jc w:val="right"/>
              <w:rPr>
                <w:sz w:val="24"/>
              </w:rPr>
            </w:pPr>
            <w:r>
              <w:rPr>
                <w:sz w:val="24"/>
              </w:rPr>
              <w:t>世尊最殊胜</w:t>
            </w:r>
          </w:p>
        </w:tc>
        <w:tc>
          <w:tcPr>
            <w:tcW w:w="1359" w:type="dxa"/>
          </w:tcPr>
          <w:p>
            <w:pPr>
              <w:pStyle w:val="TableParagraph"/>
              <w:spacing w:before="142"/>
              <w:ind w:left="68"/>
              <w:rPr>
                <w:sz w:val="24"/>
              </w:rPr>
            </w:pPr>
            <w:r>
              <w:rPr>
                <w:sz w:val="24"/>
              </w:rPr>
              <w:t>善断诸惑种</w:t>
            </w:r>
          </w:p>
        </w:tc>
        <w:tc>
          <w:tcPr>
            <w:tcW w:w="3232" w:type="dxa"/>
          </w:tcPr>
          <w:p>
            <w:pPr>
              <w:pStyle w:val="TableParagraph"/>
              <w:rPr>
                <w:rFonts w:ascii="Times New Roman"/>
                <w:sz w:val="24"/>
              </w:rPr>
            </w:pPr>
          </w:p>
        </w:tc>
        <w:tc>
          <w:tcPr>
            <w:tcW w:w="376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无量胜功德</w:t>
            </w:r>
          </w:p>
        </w:tc>
        <w:tc>
          <w:tcPr>
            <w:tcW w:w="1359" w:type="dxa"/>
          </w:tcPr>
          <w:p>
            <w:pPr>
              <w:pStyle w:val="TableParagraph"/>
              <w:spacing w:before="70"/>
              <w:ind w:left="68"/>
              <w:rPr>
                <w:sz w:val="24"/>
              </w:rPr>
            </w:pPr>
            <w:r>
              <w:rPr>
                <w:sz w:val="24"/>
              </w:rPr>
              <w:t>总集如来身</w:t>
            </w:r>
          </w:p>
        </w:tc>
        <w:tc>
          <w:tcPr>
            <w:tcW w:w="3232" w:type="dxa"/>
          </w:tcPr>
          <w:p>
            <w:pPr>
              <w:pStyle w:val="TableParagraph"/>
              <w:rPr>
                <w:rFonts w:ascii="Times New Roman"/>
                <w:sz w:val="24"/>
              </w:rPr>
            </w:pPr>
          </w:p>
        </w:tc>
        <w:tc>
          <w:tcPr>
            <w:tcW w:w="376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唯佛可归依</w:t>
            </w:r>
          </w:p>
        </w:tc>
        <w:tc>
          <w:tcPr>
            <w:tcW w:w="1359" w:type="dxa"/>
          </w:tcPr>
          <w:p>
            <w:pPr>
              <w:pStyle w:val="TableParagraph"/>
              <w:spacing w:before="70"/>
              <w:ind w:left="68"/>
              <w:rPr>
                <w:sz w:val="24"/>
              </w:rPr>
            </w:pPr>
            <w:r>
              <w:rPr>
                <w:sz w:val="24"/>
              </w:rPr>
              <w:t>可赞可承事</w:t>
            </w:r>
          </w:p>
        </w:tc>
        <w:tc>
          <w:tcPr>
            <w:tcW w:w="3232" w:type="dxa"/>
          </w:tcPr>
          <w:p>
            <w:pPr>
              <w:pStyle w:val="TableParagraph"/>
              <w:rPr>
                <w:rFonts w:ascii="Times New Roman"/>
                <w:sz w:val="24"/>
              </w:rPr>
            </w:pPr>
          </w:p>
        </w:tc>
        <w:tc>
          <w:tcPr>
            <w:tcW w:w="376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如理思惟者</w:t>
            </w:r>
          </w:p>
        </w:tc>
        <w:tc>
          <w:tcPr>
            <w:tcW w:w="1359" w:type="dxa"/>
          </w:tcPr>
          <w:p>
            <w:pPr>
              <w:pStyle w:val="TableParagraph"/>
              <w:spacing w:before="70"/>
              <w:ind w:left="68"/>
              <w:rPr>
                <w:sz w:val="24"/>
              </w:rPr>
            </w:pPr>
            <w:r>
              <w:rPr>
                <w:sz w:val="24"/>
              </w:rPr>
              <w:t>宜应住此教</w:t>
            </w:r>
          </w:p>
        </w:tc>
        <w:tc>
          <w:tcPr>
            <w:tcW w:w="3232" w:type="dxa"/>
          </w:tcPr>
          <w:p>
            <w:pPr>
              <w:pStyle w:val="TableParagraph"/>
              <w:rPr>
                <w:rFonts w:ascii="Times New Roman"/>
                <w:sz w:val="24"/>
              </w:rPr>
            </w:pPr>
          </w:p>
        </w:tc>
        <w:tc>
          <w:tcPr>
            <w:tcW w:w="376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诸恶烦恼习</w:t>
            </w:r>
          </w:p>
        </w:tc>
        <w:tc>
          <w:tcPr>
            <w:tcW w:w="1359" w:type="dxa"/>
          </w:tcPr>
          <w:p>
            <w:pPr>
              <w:pStyle w:val="TableParagraph"/>
              <w:spacing w:before="70"/>
              <w:ind w:left="68"/>
              <w:rPr>
                <w:sz w:val="24"/>
              </w:rPr>
            </w:pPr>
            <w:r>
              <w:rPr>
                <w:sz w:val="24"/>
              </w:rPr>
              <w:t>护世者已除</w:t>
            </w:r>
          </w:p>
        </w:tc>
        <w:tc>
          <w:tcPr>
            <w:tcW w:w="3232" w:type="dxa"/>
          </w:tcPr>
          <w:p>
            <w:pPr>
              <w:pStyle w:val="TableParagraph"/>
              <w:rPr>
                <w:rFonts w:ascii="Times New Roman"/>
                <w:sz w:val="24"/>
              </w:rPr>
            </w:pPr>
          </w:p>
        </w:tc>
        <w:tc>
          <w:tcPr>
            <w:tcW w:w="376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福智二俱圆</w:t>
            </w:r>
          </w:p>
        </w:tc>
        <w:tc>
          <w:tcPr>
            <w:tcW w:w="1359" w:type="dxa"/>
          </w:tcPr>
          <w:p>
            <w:pPr>
              <w:pStyle w:val="TableParagraph"/>
              <w:spacing w:before="70"/>
              <w:ind w:left="68"/>
              <w:rPr>
                <w:sz w:val="24"/>
              </w:rPr>
            </w:pPr>
            <w:r>
              <w:rPr>
                <w:sz w:val="24"/>
              </w:rPr>
              <w:t>唯尊不退没</w:t>
            </w:r>
          </w:p>
        </w:tc>
        <w:tc>
          <w:tcPr>
            <w:tcW w:w="3232" w:type="dxa"/>
          </w:tcPr>
          <w:p>
            <w:pPr>
              <w:pStyle w:val="TableParagraph"/>
              <w:rPr>
                <w:rFonts w:ascii="Times New Roman"/>
                <w:sz w:val="24"/>
              </w:rPr>
            </w:pPr>
          </w:p>
        </w:tc>
        <w:tc>
          <w:tcPr>
            <w:tcW w:w="376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纵生恶见者</w:t>
            </w:r>
          </w:p>
        </w:tc>
        <w:tc>
          <w:tcPr>
            <w:tcW w:w="1359" w:type="dxa"/>
          </w:tcPr>
          <w:p>
            <w:pPr>
              <w:pStyle w:val="TableParagraph"/>
              <w:spacing w:before="70"/>
              <w:ind w:left="68"/>
              <w:rPr>
                <w:sz w:val="24"/>
              </w:rPr>
            </w:pPr>
            <w:r>
              <w:rPr>
                <w:sz w:val="24"/>
              </w:rPr>
              <w:t>于尊起嫌恨</w:t>
            </w:r>
          </w:p>
        </w:tc>
        <w:tc>
          <w:tcPr>
            <w:tcW w:w="3232" w:type="dxa"/>
          </w:tcPr>
          <w:p>
            <w:pPr>
              <w:pStyle w:val="TableParagraph"/>
              <w:rPr>
                <w:rFonts w:ascii="Times New Roman"/>
                <w:sz w:val="24"/>
              </w:rPr>
            </w:pPr>
          </w:p>
        </w:tc>
        <w:tc>
          <w:tcPr>
            <w:tcW w:w="376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伺求身语业</w:t>
            </w:r>
          </w:p>
        </w:tc>
        <w:tc>
          <w:tcPr>
            <w:tcW w:w="1359" w:type="dxa"/>
          </w:tcPr>
          <w:p>
            <w:pPr>
              <w:pStyle w:val="TableParagraph"/>
              <w:spacing w:before="70"/>
              <w:ind w:left="68"/>
              <w:rPr>
                <w:sz w:val="24"/>
              </w:rPr>
            </w:pPr>
            <w:r>
              <w:rPr>
                <w:sz w:val="24"/>
              </w:rPr>
              <w:t>无能得瑕隙</w:t>
            </w:r>
          </w:p>
        </w:tc>
        <w:tc>
          <w:tcPr>
            <w:tcW w:w="3232" w:type="dxa"/>
          </w:tcPr>
          <w:p>
            <w:pPr>
              <w:pStyle w:val="TableParagraph"/>
              <w:rPr>
                <w:rFonts w:ascii="Times New Roman"/>
                <w:sz w:val="24"/>
              </w:rPr>
            </w:pPr>
          </w:p>
        </w:tc>
        <w:tc>
          <w:tcPr>
            <w:tcW w:w="376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记我得人身</w:t>
            </w:r>
          </w:p>
        </w:tc>
        <w:tc>
          <w:tcPr>
            <w:tcW w:w="1359" w:type="dxa"/>
          </w:tcPr>
          <w:p>
            <w:pPr>
              <w:pStyle w:val="TableParagraph"/>
              <w:spacing w:before="70"/>
              <w:ind w:left="68"/>
              <w:rPr>
                <w:sz w:val="24"/>
              </w:rPr>
            </w:pPr>
            <w:r>
              <w:rPr>
                <w:sz w:val="24"/>
              </w:rPr>
              <w:t>闻法生欢喜</w:t>
            </w:r>
          </w:p>
        </w:tc>
        <w:tc>
          <w:tcPr>
            <w:tcW w:w="3232" w:type="dxa"/>
          </w:tcPr>
          <w:p>
            <w:pPr>
              <w:pStyle w:val="TableParagraph"/>
              <w:rPr>
                <w:rFonts w:ascii="Times New Roman"/>
                <w:sz w:val="24"/>
              </w:rPr>
            </w:pPr>
          </w:p>
        </w:tc>
        <w:tc>
          <w:tcPr>
            <w:tcW w:w="376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譬如巨海内</w:t>
            </w:r>
          </w:p>
        </w:tc>
        <w:tc>
          <w:tcPr>
            <w:tcW w:w="1359" w:type="dxa"/>
          </w:tcPr>
          <w:p>
            <w:pPr>
              <w:pStyle w:val="TableParagraph"/>
              <w:spacing w:before="70"/>
              <w:ind w:left="68"/>
              <w:rPr>
                <w:sz w:val="24"/>
              </w:rPr>
            </w:pPr>
            <w:r>
              <w:rPr>
                <w:sz w:val="24"/>
              </w:rPr>
              <w:t>盲龟遇楂穴</w:t>
            </w:r>
          </w:p>
        </w:tc>
        <w:tc>
          <w:tcPr>
            <w:tcW w:w="3232" w:type="dxa"/>
          </w:tcPr>
          <w:p>
            <w:pPr>
              <w:pStyle w:val="TableParagraph"/>
              <w:rPr>
                <w:rFonts w:ascii="Times New Roman"/>
                <w:sz w:val="24"/>
              </w:rPr>
            </w:pPr>
          </w:p>
        </w:tc>
        <w:tc>
          <w:tcPr>
            <w:tcW w:w="376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忘念恒随逐</w:t>
            </w:r>
          </w:p>
        </w:tc>
        <w:tc>
          <w:tcPr>
            <w:tcW w:w="1359" w:type="dxa"/>
          </w:tcPr>
          <w:p>
            <w:pPr>
              <w:pStyle w:val="TableParagraph"/>
              <w:spacing w:before="70"/>
              <w:ind w:left="68"/>
              <w:rPr>
                <w:sz w:val="24"/>
              </w:rPr>
            </w:pPr>
            <w:r>
              <w:rPr>
                <w:sz w:val="24"/>
              </w:rPr>
              <w:t>惑业堕深坑</w:t>
            </w:r>
          </w:p>
        </w:tc>
        <w:tc>
          <w:tcPr>
            <w:tcW w:w="3232" w:type="dxa"/>
          </w:tcPr>
          <w:p>
            <w:pPr>
              <w:pStyle w:val="TableParagraph"/>
              <w:rPr>
                <w:rFonts w:ascii="Times New Roman"/>
                <w:sz w:val="24"/>
              </w:rPr>
            </w:pPr>
          </w:p>
        </w:tc>
        <w:tc>
          <w:tcPr>
            <w:tcW w:w="376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故我以言词</w:t>
            </w:r>
          </w:p>
        </w:tc>
        <w:tc>
          <w:tcPr>
            <w:tcW w:w="1359" w:type="dxa"/>
          </w:tcPr>
          <w:p>
            <w:pPr>
              <w:pStyle w:val="TableParagraph"/>
              <w:spacing w:before="70"/>
              <w:ind w:left="68"/>
              <w:rPr>
                <w:sz w:val="24"/>
              </w:rPr>
            </w:pPr>
            <w:r>
              <w:rPr>
                <w:sz w:val="24"/>
              </w:rPr>
              <w:t>叹佛实功德</w:t>
            </w:r>
          </w:p>
        </w:tc>
        <w:tc>
          <w:tcPr>
            <w:tcW w:w="3232" w:type="dxa"/>
          </w:tcPr>
          <w:p>
            <w:pPr>
              <w:pStyle w:val="TableParagraph"/>
              <w:rPr>
                <w:rFonts w:ascii="Times New Roman"/>
                <w:sz w:val="24"/>
              </w:rPr>
            </w:pPr>
          </w:p>
        </w:tc>
        <w:tc>
          <w:tcPr>
            <w:tcW w:w="376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牟尼无量境</w:t>
            </w:r>
          </w:p>
        </w:tc>
        <w:tc>
          <w:tcPr>
            <w:tcW w:w="1359" w:type="dxa"/>
          </w:tcPr>
          <w:p>
            <w:pPr>
              <w:pStyle w:val="TableParagraph"/>
              <w:spacing w:before="70"/>
              <w:ind w:left="68"/>
              <w:rPr>
                <w:sz w:val="24"/>
              </w:rPr>
            </w:pPr>
            <w:r>
              <w:rPr>
                <w:sz w:val="24"/>
              </w:rPr>
              <w:t>圣德无边际</w:t>
            </w:r>
          </w:p>
        </w:tc>
        <w:tc>
          <w:tcPr>
            <w:tcW w:w="3232" w:type="dxa"/>
          </w:tcPr>
          <w:p>
            <w:pPr>
              <w:pStyle w:val="TableParagraph"/>
              <w:rPr>
                <w:rFonts w:ascii="Times New Roman"/>
                <w:sz w:val="24"/>
              </w:rPr>
            </w:pPr>
          </w:p>
        </w:tc>
        <w:tc>
          <w:tcPr>
            <w:tcW w:w="376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为求自利故</w:t>
            </w:r>
          </w:p>
        </w:tc>
        <w:tc>
          <w:tcPr>
            <w:tcW w:w="1359" w:type="dxa"/>
          </w:tcPr>
          <w:p>
            <w:pPr>
              <w:pStyle w:val="TableParagraph"/>
              <w:spacing w:before="70"/>
              <w:ind w:left="68"/>
              <w:rPr>
                <w:sz w:val="24"/>
              </w:rPr>
            </w:pPr>
            <w:r>
              <w:rPr>
                <w:sz w:val="24"/>
              </w:rPr>
              <w:t>我今赞少分</w:t>
            </w:r>
          </w:p>
        </w:tc>
        <w:tc>
          <w:tcPr>
            <w:tcW w:w="3232" w:type="dxa"/>
          </w:tcPr>
          <w:p>
            <w:pPr>
              <w:pStyle w:val="TableParagraph"/>
              <w:rPr>
                <w:rFonts w:ascii="Times New Roman"/>
                <w:sz w:val="24"/>
              </w:rPr>
            </w:pPr>
          </w:p>
        </w:tc>
        <w:tc>
          <w:tcPr>
            <w:tcW w:w="376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敬礼无师智</w:t>
            </w:r>
          </w:p>
        </w:tc>
        <w:tc>
          <w:tcPr>
            <w:tcW w:w="1359" w:type="dxa"/>
          </w:tcPr>
          <w:p>
            <w:pPr>
              <w:pStyle w:val="TableParagraph"/>
              <w:spacing w:before="70"/>
              <w:ind w:left="68"/>
              <w:rPr>
                <w:sz w:val="24"/>
              </w:rPr>
            </w:pPr>
            <w:r>
              <w:rPr>
                <w:sz w:val="24"/>
              </w:rPr>
              <w:t>希有众事性</w:t>
            </w:r>
          </w:p>
        </w:tc>
        <w:tc>
          <w:tcPr>
            <w:tcW w:w="3232" w:type="dxa"/>
          </w:tcPr>
          <w:p>
            <w:pPr>
              <w:pStyle w:val="TableParagraph"/>
              <w:rPr>
                <w:rFonts w:ascii="Times New Roman"/>
                <w:sz w:val="24"/>
              </w:rPr>
            </w:pPr>
          </w:p>
        </w:tc>
        <w:tc>
          <w:tcPr>
            <w:tcW w:w="376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福慧及威光</w:t>
            </w:r>
          </w:p>
        </w:tc>
        <w:tc>
          <w:tcPr>
            <w:tcW w:w="1359" w:type="dxa"/>
          </w:tcPr>
          <w:p>
            <w:pPr>
              <w:pStyle w:val="TableParagraph"/>
              <w:spacing w:before="70"/>
              <w:ind w:left="68"/>
              <w:rPr>
                <w:sz w:val="24"/>
              </w:rPr>
            </w:pPr>
            <w:r>
              <w:rPr>
                <w:sz w:val="24"/>
              </w:rPr>
              <w:t>谁能知数量</w:t>
            </w:r>
          </w:p>
        </w:tc>
        <w:tc>
          <w:tcPr>
            <w:tcW w:w="3232" w:type="dxa"/>
          </w:tcPr>
          <w:p>
            <w:pPr>
              <w:pStyle w:val="TableParagraph"/>
              <w:rPr>
                <w:rFonts w:ascii="Times New Roman"/>
                <w:sz w:val="24"/>
              </w:rPr>
            </w:pPr>
          </w:p>
        </w:tc>
        <w:tc>
          <w:tcPr>
            <w:tcW w:w="376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如来德无限</w:t>
            </w:r>
          </w:p>
        </w:tc>
        <w:tc>
          <w:tcPr>
            <w:tcW w:w="1359" w:type="dxa"/>
          </w:tcPr>
          <w:p>
            <w:pPr>
              <w:pStyle w:val="TableParagraph"/>
              <w:spacing w:before="70"/>
              <w:ind w:left="68"/>
              <w:rPr>
                <w:sz w:val="24"/>
              </w:rPr>
            </w:pPr>
            <w:r>
              <w:rPr>
                <w:sz w:val="24"/>
              </w:rPr>
              <w:t>无等无能说</w:t>
            </w:r>
          </w:p>
        </w:tc>
        <w:tc>
          <w:tcPr>
            <w:tcW w:w="3232" w:type="dxa"/>
          </w:tcPr>
          <w:p>
            <w:pPr>
              <w:pStyle w:val="TableParagraph"/>
              <w:rPr>
                <w:rFonts w:ascii="Times New Roman"/>
                <w:sz w:val="24"/>
              </w:rPr>
            </w:pPr>
          </w:p>
        </w:tc>
        <w:tc>
          <w:tcPr>
            <w:tcW w:w="376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我今求福利</w:t>
            </w:r>
          </w:p>
        </w:tc>
        <w:tc>
          <w:tcPr>
            <w:tcW w:w="1359" w:type="dxa"/>
          </w:tcPr>
          <w:p>
            <w:pPr>
              <w:pStyle w:val="TableParagraph"/>
              <w:spacing w:before="70"/>
              <w:ind w:left="68"/>
              <w:rPr>
                <w:sz w:val="24"/>
              </w:rPr>
            </w:pPr>
            <w:r>
              <w:rPr>
                <w:sz w:val="24"/>
              </w:rPr>
              <w:t>假赞以名言</w:t>
            </w:r>
          </w:p>
        </w:tc>
        <w:tc>
          <w:tcPr>
            <w:tcW w:w="3232" w:type="dxa"/>
          </w:tcPr>
          <w:p>
            <w:pPr>
              <w:pStyle w:val="TableParagraph"/>
              <w:rPr>
                <w:rFonts w:ascii="Times New Roman"/>
                <w:sz w:val="24"/>
              </w:rPr>
            </w:pPr>
          </w:p>
        </w:tc>
        <w:tc>
          <w:tcPr>
            <w:tcW w:w="376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我智力微浅</w:t>
            </w:r>
          </w:p>
        </w:tc>
        <w:tc>
          <w:tcPr>
            <w:tcW w:w="1359" w:type="dxa"/>
          </w:tcPr>
          <w:p>
            <w:pPr>
              <w:pStyle w:val="TableParagraph"/>
              <w:spacing w:before="70"/>
              <w:ind w:left="68"/>
              <w:rPr>
                <w:sz w:val="24"/>
              </w:rPr>
            </w:pPr>
            <w:r>
              <w:rPr>
                <w:sz w:val="24"/>
              </w:rPr>
              <w:t>佛德无崖际</w:t>
            </w:r>
          </w:p>
        </w:tc>
        <w:tc>
          <w:tcPr>
            <w:tcW w:w="3232" w:type="dxa"/>
          </w:tcPr>
          <w:p>
            <w:pPr>
              <w:pStyle w:val="TableParagraph"/>
              <w:rPr>
                <w:rFonts w:ascii="Times New Roman"/>
                <w:sz w:val="24"/>
              </w:rPr>
            </w:pPr>
          </w:p>
        </w:tc>
        <w:tc>
          <w:tcPr>
            <w:tcW w:w="376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唯愿大慈悲</w:t>
            </w:r>
          </w:p>
        </w:tc>
        <w:tc>
          <w:tcPr>
            <w:tcW w:w="1359" w:type="dxa"/>
          </w:tcPr>
          <w:p>
            <w:pPr>
              <w:pStyle w:val="TableParagraph"/>
              <w:spacing w:before="70"/>
              <w:ind w:left="68"/>
              <w:rPr>
                <w:sz w:val="24"/>
              </w:rPr>
            </w:pPr>
            <w:r>
              <w:rPr>
                <w:sz w:val="24"/>
              </w:rPr>
              <w:t>拯我无归处</w:t>
            </w:r>
          </w:p>
        </w:tc>
        <w:tc>
          <w:tcPr>
            <w:tcW w:w="3232" w:type="dxa"/>
          </w:tcPr>
          <w:p>
            <w:pPr>
              <w:pStyle w:val="TableParagraph"/>
              <w:rPr>
                <w:rFonts w:ascii="Times New Roman"/>
                <w:sz w:val="24"/>
              </w:rPr>
            </w:pPr>
          </w:p>
        </w:tc>
        <w:tc>
          <w:tcPr>
            <w:tcW w:w="376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怨亲悉平等</w:t>
            </w:r>
          </w:p>
        </w:tc>
        <w:tc>
          <w:tcPr>
            <w:tcW w:w="1359" w:type="dxa"/>
          </w:tcPr>
          <w:p>
            <w:pPr>
              <w:pStyle w:val="TableParagraph"/>
              <w:spacing w:before="70"/>
              <w:ind w:left="68"/>
              <w:rPr>
                <w:sz w:val="24"/>
              </w:rPr>
            </w:pPr>
            <w:r>
              <w:rPr>
                <w:sz w:val="24"/>
              </w:rPr>
              <w:t>无缘起大悲</w:t>
            </w:r>
          </w:p>
        </w:tc>
        <w:tc>
          <w:tcPr>
            <w:tcW w:w="3232" w:type="dxa"/>
          </w:tcPr>
          <w:p>
            <w:pPr>
              <w:pStyle w:val="TableParagraph"/>
              <w:rPr>
                <w:rFonts w:ascii="Times New Roman"/>
                <w:sz w:val="24"/>
              </w:rPr>
            </w:pPr>
          </w:p>
        </w:tc>
        <w:tc>
          <w:tcPr>
            <w:tcW w:w="376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普于众生界</w:t>
            </w:r>
          </w:p>
        </w:tc>
        <w:tc>
          <w:tcPr>
            <w:tcW w:w="1359" w:type="dxa"/>
          </w:tcPr>
          <w:p>
            <w:pPr>
              <w:pStyle w:val="TableParagraph"/>
              <w:spacing w:before="70"/>
              <w:ind w:left="68"/>
              <w:rPr>
                <w:sz w:val="24"/>
              </w:rPr>
            </w:pPr>
            <w:r>
              <w:rPr>
                <w:sz w:val="24"/>
              </w:rPr>
              <w:t>恒作真善友</w:t>
            </w:r>
          </w:p>
        </w:tc>
        <w:tc>
          <w:tcPr>
            <w:tcW w:w="3232" w:type="dxa"/>
          </w:tcPr>
          <w:p>
            <w:pPr>
              <w:pStyle w:val="TableParagraph"/>
              <w:rPr>
                <w:rFonts w:ascii="Times New Roman"/>
                <w:sz w:val="24"/>
              </w:rPr>
            </w:pPr>
          </w:p>
        </w:tc>
        <w:tc>
          <w:tcPr>
            <w:tcW w:w="376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内财尚能舍</w:t>
            </w:r>
          </w:p>
        </w:tc>
        <w:tc>
          <w:tcPr>
            <w:tcW w:w="1359" w:type="dxa"/>
          </w:tcPr>
          <w:p>
            <w:pPr>
              <w:pStyle w:val="TableParagraph"/>
              <w:spacing w:before="70"/>
              <w:ind w:left="68"/>
              <w:rPr>
                <w:sz w:val="24"/>
              </w:rPr>
            </w:pPr>
            <w:r>
              <w:rPr>
                <w:sz w:val="24"/>
              </w:rPr>
              <w:t>何况于外财</w:t>
            </w:r>
          </w:p>
        </w:tc>
        <w:tc>
          <w:tcPr>
            <w:tcW w:w="3232" w:type="dxa"/>
          </w:tcPr>
          <w:p>
            <w:pPr>
              <w:pStyle w:val="TableParagraph"/>
              <w:rPr>
                <w:rFonts w:ascii="Times New Roman"/>
                <w:sz w:val="24"/>
              </w:rPr>
            </w:pPr>
          </w:p>
        </w:tc>
        <w:tc>
          <w:tcPr>
            <w:tcW w:w="3760" w:type="dxa"/>
            <w:tcBorders>
              <w:right w:val="single" w:sz="8" w:space="0" w:color="000000"/>
            </w:tcBorders>
          </w:tcPr>
          <w:p>
            <w:pPr>
              <w:pStyle w:val="TableParagraph"/>
              <w:rPr>
                <w:rFonts w:ascii="Times New Roman"/>
                <w:sz w:val="24"/>
              </w:rPr>
            </w:pPr>
          </w:p>
        </w:tc>
      </w:tr>
      <w:tr>
        <w:trPr>
          <w:trHeight w:val="464" w:hRule="atLeast"/>
        </w:trPr>
        <w:tc>
          <w:tcPr>
            <w:tcW w:w="2432" w:type="dxa"/>
            <w:tcBorders>
              <w:left w:val="single" w:sz="8" w:space="0" w:color="000000"/>
            </w:tcBorders>
          </w:tcPr>
          <w:p>
            <w:pPr>
              <w:pStyle w:val="TableParagraph"/>
              <w:spacing w:before="70"/>
              <w:ind w:right="410"/>
              <w:jc w:val="right"/>
              <w:rPr>
                <w:sz w:val="24"/>
              </w:rPr>
            </w:pPr>
            <w:r>
              <w:rPr>
                <w:sz w:val="24"/>
              </w:rPr>
              <w:t>尊无吝惜心</w:t>
            </w:r>
          </w:p>
        </w:tc>
        <w:tc>
          <w:tcPr>
            <w:tcW w:w="1359" w:type="dxa"/>
          </w:tcPr>
          <w:p>
            <w:pPr>
              <w:pStyle w:val="TableParagraph"/>
              <w:spacing w:before="70"/>
              <w:ind w:left="68"/>
              <w:rPr>
                <w:sz w:val="24"/>
              </w:rPr>
            </w:pPr>
            <w:r>
              <w:rPr>
                <w:sz w:val="24"/>
              </w:rPr>
              <w:t>求者满其愿</w:t>
            </w:r>
          </w:p>
        </w:tc>
        <w:tc>
          <w:tcPr>
            <w:tcW w:w="3232" w:type="dxa"/>
          </w:tcPr>
          <w:p>
            <w:pPr>
              <w:pStyle w:val="TableParagraph"/>
              <w:rPr>
                <w:rFonts w:ascii="Times New Roman"/>
                <w:sz w:val="24"/>
              </w:rPr>
            </w:pPr>
          </w:p>
        </w:tc>
        <w:tc>
          <w:tcPr>
            <w:tcW w:w="3760" w:type="dxa"/>
            <w:tcBorders>
              <w:right w:val="single" w:sz="8" w:space="0" w:color="000000"/>
            </w:tcBorders>
          </w:tcPr>
          <w:p>
            <w:pPr>
              <w:pStyle w:val="TableParagraph"/>
              <w:rPr>
                <w:rFonts w:ascii="Times New Roman"/>
                <w:sz w:val="24"/>
              </w:rPr>
            </w:pPr>
          </w:p>
        </w:tc>
      </w:tr>
      <w:tr>
        <w:trPr>
          <w:trHeight w:val="686" w:hRule="atLeast"/>
        </w:trPr>
        <w:tc>
          <w:tcPr>
            <w:tcW w:w="2432" w:type="dxa"/>
            <w:tcBorders>
              <w:left w:val="single" w:sz="8" w:space="0" w:color="000000"/>
            </w:tcBorders>
          </w:tcPr>
          <w:p>
            <w:pPr>
              <w:pStyle w:val="TableParagraph"/>
              <w:spacing w:before="70"/>
              <w:ind w:right="410"/>
              <w:jc w:val="right"/>
              <w:rPr>
                <w:sz w:val="24"/>
              </w:rPr>
            </w:pPr>
            <w:r>
              <w:rPr>
                <w:sz w:val="24"/>
              </w:rPr>
              <w:t>以身护彼身</w:t>
            </w:r>
          </w:p>
        </w:tc>
        <w:tc>
          <w:tcPr>
            <w:tcW w:w="1359" w:type="dxa"/>
          </w:tcPr>
          <w:p>
            <w:pPr>
              <w:pStyle w:val="TableParagraph"/>
              <w:spacing w:before="70"/>
              <w:ind w:left="68"/>
              <w:rPr>
                <w:sz w:val="24"/>
              </w:rPr>
            </w:pPr>
            <w:r>
              <w:rPr>
                <w:sz w:val="24"/>
              </w:rPr>
              <w:t>以命赎他命</w:t>
            </w:r>
          </w:p>
        </w:tc>
        <w:tc>
          <w:tcPr>
            <w:tcW w:w="3232" w:type="dxa"/>
          </w:tcPr>
          <w:p>
            <w:pPr>
              <w:pStyle w:val="TableParagraph"/>
              <w:rPr>
                <w:rFonts w:ascii="Times New Roman"/>
                <w:sz w:val="24"/>
              </w:rPr>
            </w:pPr>
          </w:p>
        </w:tc>
        <w:tc>
          <w:tcPr>
            <w:tcW w:w="3760" w:type="dxa"/>
            <w:tcBorders>
              <w:right w:val="single" w:sz="8" w:space="0" w:color="000000"/>
            </w:tcBorders>
          </w:tcPr>
          <w:p>
            <w:pPr>
              <w:pStyle w:val="TableParagraph"/>
              <w:rPr>
                <w:rFonts w:ascii="Times New Roman"/>
                <w:sz w:val="24"/>
              </w:rPr>
            </w:pPr>
          </w:p>
        </w:tc>
      </w:tr>
    </w:tbl>
    <w:p>
      <w:pPr>
        <w:spacing w:after="0"/>
        <w:rPr>
          <w:rFonts w:ascii="Times New Roman"/>
          <w:sz w:val="24"/>
        </w:rPr>
        <w:sectPr>
          <w:type w:val="continuous"/>
          <w:pgSz w:w="12240" w:h="15840"/>
          <w:pgMar w:top="700" w:bottom="280" w:left="580" w:right="640"/>
        </w:sectPr>
      </w:pPr>
    </w:p>
    <w:p>
      <w:pPr>
        <w:pStyle w:val="BodyText"/>
        <w:spacing w:line="362" w:lineRule="auto" w:before="80"/>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全躯救一鸽   欢喜无悭吝尊不畏恶道   亦不贪善趣但为心澄洁   尸罗由此成常离诸邪曲   恒亲质直者诸业本性空   唯居第一义众苦逼其身   尊能善安虑正智断诸惑   有过悉兴悲殉命济他难   生无量欢喜如死忽重苏   此喜过于彼怨对害其身   一切时恒恼不观其过恶   常起大悲心正遍菩提种   心恒所珍玩大雄难胜智   无有能及者无等菩提果   苦行是其因由此不顾身   勤修诸胜品豪贵与贫贱   等引以大悲于诸差别中   而无高下想胜乐等持果   心无有贪着普济诸群生   大悲无间断尊虽遭极苦   于乐不悕求妙智诸功德   殊胜无能共染净诸杂法   简伪取其真如清净鹅王   饮乳弃其水于无量亿劫   勇猛趣菩提于彼生生中   丧身求妙法三僧祇数量   精勤无懈惓持此为胜伴   以证妙菩提尊无嫉姤心   于劣除轻想平等无乖诤   胜行悉圆成尊唯重因行   非求果位圆遍修诸胜业 众德自成满</w:t>
      </w:r>
    </w:p>
    <w:p>
      <w:pPr>
        <w:spacing w:after="0" w:line="362" w:lineRule="auto"/>
        <w:sectPr>
          <w:pgSz w:w="12240" w:h="15840"/>
          <w:pgMar w:top="580" w:bottom="280" w:left="580" w:right="640"/>
        </w:sectPr>
      </w:pPr>
    </w:p>
    <w:p>
      <w:pPr>
        <w:pStyle w:val="BodyText"/>
        <w:spacing w:line="362" w:lineRule="auto" w:before="81"/>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勤修出离法   超升众行顶坐卧经行处   无非胜福田拔除众过染   增长清净德斯由积行成   唯尊最无上众福皆圆满   诸过悉蠲除如来净法身   尘习皆已断资粮集更集   功归调御身欲求于譬类   无能与佛等遍观诸世间   灾横多障恼纵有少分善   易得为比对远离诸过患   湛然安不动最胜诸善根   无能为譬喻如来智深远   无底无边际世事喻佛身   牛迹方大海深仁荷一切   世间无有比大地持重担   喻此实为轻愚痴闇已除   牟尼光普照世智非能譬   如萤对日光如来三业净   秋月皎空池世洁喻佛身   俱成尘浊性如上诸所引   世中殊胜事佛法迥超过   俗事可哀愍圣法珍宝聚   佛最居其顶无上无比中   唯佛与佛等如来圣智海   随乐叹少分鄙词赞胜德   对此实多惭时俗睹降魔   一切咸归伏观彼同真性   我谓等轻毛假令大战阵   智勇能摧伏圣德超世间   降彼非为喻邻次降魔后 于夜后分中</w:t>
      </w:r>
    </w:p>
    <w:p>
      <w:pPr>
        <w:spacing w:after="0" w:line="362" w:lineRule="auto"/>
        <w:sectPr>
          <w:pgSz w:w="12240" w:h="15840"/>
          <w:pgMar w:top="580" w:bottom="280" w:left="580" w:right="640"/>
        </w:sectPr>
      </w:pPr>
    </w:p>
    <w:p>
      <w:pPr>
        <w:pStyle w:val="BodyText"/>
        <w:spacing w:line="362" w:lineRule="auto" w:before="81"/>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断诸烦恼习   胜德皆圆满圣智除众闇   超过千日光摧伏诸邪宗   希有无能比三善根圆满   永灭贪恚痴种习悉已除   清净无能喻妙法尊恒赞   不正法恒非于斯邪正处   心无有憎爱于圣弟子众   及外道师徒于彼违顺中   佛心初无二于德情无著   德者亦非贪善哉极无垢   圣智恒圆洁诸根常湛寂   永离迷妄心于诸境界中   现量由亲睹念慧穷真际   非凡愚所测善安立语言   证彼亡言处寂静无碍光   皎洁逾辉映妙色世希有   熟不怀敬心若有暂初观   或复恒瞻睹妙相曾无二   前后悉同欢最胜威德身   观者心无厌纵经无量劫   欣仰似初观所依之德体   能依之德心性相二俱融   能所初无异如斯善逝德   总集如来躬离佛相好身   余非所安处我因先世福   幸遇调御师仰赞功德山   远酬尊所记一切有情类   皆因烦恼持唯佛能善除   由悲久住世谁当先敬礼   唯佛大悲尊圣德超世间 悲愿处生死</w:t>
      </w:r>
    </w:p>
    <w:p>
      <w:pPr>
        <w:spacing w:after="0" w:line="362" w:lineRule="auto"/>
        <w:sectPr>
          <w:pgSz w:w="12240" w:h="15840"/>
          <w:pgMar w:top="580" w:bottom="280" w:left="580" w:right="640"/>
        </w:sectPr>
      </w:pPr>
    </w:p>
    <w:p>
      <w:pPr>
        <w:pStyle w:val="BodyText"/>
        <w:spacing w:line="362" w:lineRule="auto" w:before="82"/>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尊居寂静乐   处浊为群生永劫久精勤   慈心为一切从真还利俗   由悲所引生如咒出潜龙   兴云注甘雨恒居胜定位   等观以怨亲凶崄倡聒人   投身归圣德神通师子吼   宣言三界尊久已厌名闻   由悲自称赞常修利他行   曾无自利心慈念遍众生   于己偏无爱悲愿无边际   逐器化群生随处皆饶益   犹如散祭食深心念一切   恒不舍须臾利彼反遭辱   由咎非佛作慈音演妙义   诚谛非虚说广略任机缘   半满随时转若闻尊演说   孰不叹希奇纵令怀恶心   有智咸归信义词恒善巧   或复出粗言利益悉不虚   故并成真妙柔软及粗犷   随事化众生圣智无碍心   一味皆平等胜哉无垢业   善巧喻良工成此微妙身   演斯珍宝句睹者皆欢喜   闻说并心开美颜宣妙词   如月流甘露慈云洒法雨   能清染欲尘如彼金翅王   吞灭诸龙毒能殄无明闇   喻如千日光摧碎我慢山   譬犹天帝杵现证非虚谬 静虑除乱心</w:t>
      </w:r>
    </w:p>
    <w:p>
      <w:pPr>
        <w:spacing w:after="0" w:line="362" w:lineRule="auto"/>
        <w:sectPr>
          <w:pgSz w:w="12240" w:h="15840"/>
          <w:pgMar w:top="580" w:bottom="280" w:left="580" w:right="640"/>
        </w:sectPr>
      </w:pPr>
    </w:p>
    <w:p>
      <w:pPr>
        <w:pStyle w:val="BodyText"/>
        <w:spacing w:line="362" w:lineRule="auto" w:before="83"/>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如实善修行   三事皆圆满创闻佛所说   心喜已开明从此善思惟   消除诸垢染遭苦能安慰   放逸令生怖着乐劝厌心   随事皆开诱上智证法喜   中根胜解生浅劣发信心   尊言遍饶益善拔诸邪见   引之趣涅槃罪垢能洗除   由尊降法雨一切智无碍   恒住正念中如来所记莂   一向非虚谬无非处非时   亦无非器转尊言不虚发   闻者悉勤修一路胜方便   无杂可修学初中后尽善   余教所皆无如斯一向善   狂愚起谤心此教若生嫌   无怨与斯等历劫为群迷   备经众苦毒此教纵非善   念佛尚应修况能大饶益   复宣深妙义纵使头被焚   先应救此教自在菩提乐   圣德恒淡然皆由此教生   证彼亡言处世雄真实教   邪宗闻悉惊魔王怀恼心   人天生胜喜大地无分别   平等普能持圣教利群生   邪正俱蒙益暂闻佛所说   金刚种已成纵未出樊笼   终超死行处闻法方思义   如实善修行次第三慧圆 余教皆无此</w:t>
      </w:r>
    </w:p>
    <w:p>
      <w:pPr>
        <w:spacing w:after="0" w:line="362" w:lineRule="auto"/>
        <w:sectPr>
          <w:pgSz w:w="12240" w:h="15840"/>
          <w:pgMar w:top="580" w:bottom="280" w:left="580" w:right="640"/>
        </w:sectPr>
      </w:pPr>
    </w:p>
    <w:p>
      <w:pPr>
        <w:pStyle w:val="BodyText"/>
        <w:spacing w:line="362" w:lineRule="auto" w:before="83"/>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spacing w:val="-2"/>
        </w:rPr>
        <w:t>唯独牛王仙   妙契真圆理斯教不勤修   宁有怨过此暂闻除渴爱   邪见信心生听者发喜心   依斯具净戒诞应时咸喜   成长世皆欢大化利群生   示灭兴悲感赞咏除众毒   忆念招欣庆寻求发慧明   解悟心圆洁遇者令尊贵   恭侍胜心生承事感福因   亲奉除忧苦尸罗具清洁   静虑心澄寂般若圆智融   恒沙福所集尊容及尊教   及尊所证法见闻思觉中   此宝最殊胜漂流作洲渚   害己恒为护怖者作归依   引之令解脱净戒成妙器   良田生胜果善友能饶益   慧命由此成行恩及和忍   见者咸欣悦广集仁慈心   功德无边际身口无过恶   爱敬由之生吉祥众义利   咸依善逝德导师能善诱   堕慢使翘勤等持调曲心   迷途归正道</w:t>
      </w:r>
      <w:r>
        <w:rPr>
          <w:spacing w:val="-1"/>
        </w:rPr>
        <w:t>善根成熟者    驾驭以三乘</w:t>
      </w:r>
    </w:p>
    <w:p>
      <w:pPr>
        <w:pStyle w:val="BodyText"/>
        <w:spacing w:line="362" w:lineRule="auto" w:before="5"/>
        <w:ind w:right="6211"/>
      </w:pPr>
      <w:r>
        <w:rPr>
          <w:spacing w:val="-1"/>
        </w:rPr>
        <w:t>[怡-台+龍]悷不调人   由悲故暂舍</w:t>
      </w:r>
      <w:r>
        <w:rPr/>
        <w:t>于遭厄能设 安乐劝善修</w:t>
      </w:r>
    </w:p>
    <w:p>
      <w:pPr>
        <w:pStyle w:val="BodyText"/>
        <w:spacing w:line="362" w:lineRule="auto" w:before="1"/>
      </w:pPr>
      <w:r>
        <w:rPr>
          <w:spacing w:val="-2"/>
        </w:rPr>
        <w:t>悲愍苦众生   利乐诸群品违害兴慈念   失行者生忧暴虐起悲心   圣德无能赞</w:t>
      </w:r>
      <w:r>
        <w:rPr>
          <w:spacing w:val="-1"/>
        </w:rPr>
        <w:t>恩深于罔极    举世所咸知</w:t>
      </w:r>
    </w:p>
    <w:p>
      <w:pPr>
        <w:spacing w:after="0" w:line="362" w:lineRule="auto"/>
        <w:sectPr>
          <w:pgSz w:w="12240" w:h="15840"/>
          <w:pgMar w:top="580" w:bottom="280" w:left="580" w:right="640"/>
        </w:sectPr>
      </w:pPr>
    </w:p>
    <w:p>
      <w:pPr>
        <w:pStyle w:val="BodyText"/>
        <w:spacing w:line="362" w:lineRule="auto" w:before="84"/>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于此返生怨   尊恒起慈愍亡身救一切   自事不生忧于诸崩堕人   亲能为援护二世行恩造   超过诸世间于闇常照明   尊为慧灯炷人天所受用   随类有差殊唯尊正法味   平等无差别不观于氏族   色力及年华随有善根人   求者皆蒙遂广现诸希有   无缘起大慈圣众及人天   合掌咸亲近呜呼生死畏   佛出乃光晖饶益诸众生   皆能满其愿恶人与共处   摧乐取忧危谤恼害其身   犹如受胜德为物行勤苦   曾无染着心世尊希有德   难以名言说尊游崄恶道   马麦及牛锵苦行经六年   安受心无退尊居最胜位   悲愍化群生纵遇轻贱人   身语逾谦敬或位尊贵主   曾无憍慢心屈己事众生   卑恭如仆使机情亿万种   论难百千端如来慈善音   一答疑皆断恩深过覆载   背德起深怨尊观怨极境   犹如极重恩怨于尊转害   尊于怨转亲彼恒求佛过   佛以彼为恩邪宗妒心请   毒饭与火坑悲愿化清池 变毒成甘露</w:t>
      </w:r>
    </w:p>
    <w:p>
      <w:pPr>
        <w:spacing w:after="0" w:line="362" w:lineRule="auto"/>
        <w:sectPr>
          <w:pgSz w:w="12240" w:h="15840"/>
          <w:pgMar w:top="580" w:bottom="280" w:left="580" w:right="640"/>
        </w:sectPr>
      </w:pPr>
    </w:p>
    <w:p>
      <w:pPr>
        <w:pStyle w:val="BodyText"/>
        <w:spacing w:line="362" w:lineRule="auto" w:before="85"/>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以忍调恚怒   真言销谤毁慈力伏魔怨   正智降邪毒群迷从旷劫   习恶以性成唯尊妙行圆   一念翻令善温柔降暴虐   惠施破悭贪善语伏粗言   唯尊胜方便难提摧巨慢   鸯掘起慈心难调能善调   谁不赞希有唯尊圣弟子   法味自怡神草座以为安   金床非所贵善知根欲性   摄化任机缘或有待其请   或无问自说初陈施戒等   渐次净心生后谈真实法   究竟令圆证怖畏漂流处   唯佛可归依勇猛大悲尊   拯济诸群品身云遍法界   法雨洒尘方应现各不同   随机故有异善净无违诤   唯尊可承奉广利诸人天   咸应兴供养身口无起作   善化遍群方所说妙相应   此德唯尊有久修三业净   妙瑞现无边普观诸世间   曾无此胜德况于极恶者   纯行最上悲广利诸众生   勇猛勤精进声闻知法者   于尊恒奉事设使证涅槃   终名为负债彼等诸圣众   为己而修学由舍利生心   不名还债者无明睡已觉 悲观遍群方</w:t>
      </w:r>
    </w:p>
    <w:p>
      <w:pPr>
        <w:spacing w:after="0" w:line="362" w:lineRule="auto"/>
        <w:sectPr>
          <w:pgSz w:w="12240" w:h="15840"/>
          <w:pgMar w:top="580" w:bottom="280" w:left="580" w:right="640"/>
        </w:sectPr>
      </w:pPr>
    </w:p>
    <w:p>
      <w:pPr>
        <w:pStyle w:val="BodyText"/>
        <w:spacing w:line="362" w:lineRule="auto" w:before="85"/>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荷负起翘勤   圣善宜亲近魔怨兴恼害   佛力已能除无畏功德中   斯但显少分悲心化一切   圣意绝希求利乐无不施   能事斯皆毕如来胜妙法   若或可迁移调达与善星   不应投此教无始流转中   互为不饶益由斯佛出世   开示化众生鹿苑度俱邻   坚林化须跋此土根缘尽   更无余债牵法轮久已转   觉悟诸群迷恒沙受学人   皆能利三有以胜金刚定   自碎坚牢身不舍于大悲   自化犹分布二利行已满   色法两身圆救摄一阐提   双林显佛性悲心贯三有   色像应群方粟粒以分身   尔乃居圆寂善哉奇特行   希有功德身大觉诸法门   世所未曾有流恩遍含识   身语恒寂然凡愚背圣恩 于尊兴谤怒</w:t>
      </w:r>
    </w:p>
    <w:p>
      <w:pPr>
        <w:pStyle w:val="BodyText"/>
        <w:spacing w:line="362" w:lineRule="auto" w:before="5"/>
        <w:ind w:right="6243"/>
      </w:pPr>
      <w:r>
        <w:rPr/>
        <w:t>法聚宝藏真无际   德源福海实难量若有众生曾礼尊   礼彼亦名为善礼圣德神功无有尽   我今智劣喻微尘欲赞如来功德山   望崖怯退由斯止无量无数无边境   难思难见难证理唯佛圣智独了知   岂是凡愚所能赞一毫一相充法界   一行一德遍心源清净广大喻芳池 能疗众生烦恼渴</w:t>
      </w:r>
    </w:p>
    <w:p>
      <w:pPr>
        <w:spacing w:after="0" w:line="362" w:lineRule="auto"/>
        <w:sectPr>
          <w:pgSz w:w="12240" w:h="15840"/>
          <w:pgMar w:top="580" w:bottom="280" w:left="580" w:right="640"/>
        </w:sectPr>
      </w:pPr>
    </w:p>
    <w:p>
      <w:pPr>
        <w:pStyle w:val="BodyText"/>
        <w:tabs>
          <w:tab w:pos="3092" w:val="left" w:leader="none"/>
        </w:tabs>
        <w:spacing w:line="362" w:lineRule="auto" w:before="86"/>
        <w:ind w:right="6243"/>
        <w:jc w:val="left"/>
      </w:pPr>
      <w:r>
        <w:rPr/>
        <w:pict>
          <v:line style="position:absolute;mso-position-horizontal-relative:page;mso-position-vertical-relative:paragraph;z-index:251677696" from="574.012451pt,-.006921pt" to="574.012451pt,137.260714pt" stroked="true" strokeweight=".80090pt" strokecolor="#000000">
            <v:stroke dashstyle="solid"/>
            <w10:wrap type="none"/>
          </v:line>
        </w:pict>
      </w:r>
      <w:r>
        <w:rPr/>
        <w:pict>
          <v:line style="position:absolute;mso-position-horizontal-relative:page;mso-position-vertical-relative:paragraph;z-index:251678720" from="35.006748pt,-.006921pt" to="35.006748pt,137.260714pt" stroked="true" strokeweight=".80090pt" strokecolor="#000000">
            <v:stroke dashstyle="solid"/>
            <w10:wrap type="none"/>
          </v:line>
        </w:pict>
      </w:r>
      <w:r>
        <w:rPr/>
        <w:t>我赞牟尼功德海</w:t>
        <w:tab/>
        <w:t>凭斯善业趣菩</w:t>
      </w:r>
      <w:r>
        <w:rPr>
          <w:spacing w:val="-15"/>
        </w:rPr>
        <w:t>提</w:t>
      </w:r>
      <w:r>
        <w:rPr/>
        <w:t>普愿含生发胜心</w:t>
        <w:tab/>
        <w:t>永离凡愚虚妄</w:t>
      </w:r>
      <w:r>
        <w:rPr>
          <w:spacing w:val="-15"/>
        </w:rPr>
        <w:t>识</w:t>
      </w:r>
    </w:p>
    <w:p>
      <w:pPr>
        <w:pStyle w:val="BodyText"/>
        <w:ind w:left="0" w:right="0"/>
        <w:jc w:val="left"/>
        <w:rPr>
          <w:sz w:val="26"/>
        </w:rPr>
      </w:pPr>
    </w:p>
    <w:p>
      <w:pPr>
        <w:pStyle w:val="BodyText"/>
        <w:spacing w:before="66"/>
        <w:ind w:left="873" w:right="0"/>
        <w:jc w:val="left"/>
      </w:pPr>
      <w:r>
        <w:rPr/>
        <w:pict>
          <v:shape style="position:absolute;margin-left:62.637798pt;margin-top:10.49442pt;width:3.25pt;height:3.25pt;mso-position-horizontal-relative:page;mso-position-vertical-relative:paragraph;z-index:251679744" coordorigin="1253,210" coordsize="65,65" path="m1285,274l1271,272,1261,266,1255,256,1253,242,1255,228,1261,218,1271,212,1285,210,1299,212,1309,218,1315,228,1317,242,1315,256,1309,266,1299,272,1285,274xe" filled="true" fillcolor="#000000" stroked="false">
            <v:path arrowok="t"/>
            <v:fill type="solid"/>
            <w10:wrap type="none"/>
          </v:shape>
        </w:pict>
      </w:r>
      <w:hyperlink r:id="rId5">
        <w:r>
          <w:rPr>
            <w:color w:val="878787"/>
          </w:rPr>
          <w:t>上一部：乾隆大藏经·西土圣贤撰集·大圣文殊师利菩萨赞佛法身礼一卷</w:t>
        </w:r>
      </w:hyperlink>
    </w:p>
    <w:p>
      <w:pPr>
        <w:pStyle w:val="BodyText"/>
        <w:spacing w:before="109"/>
        <w:ind w:left="873" w:right="0"/>
        <w:jc w:val="left"/>
      </w:pPr>
      <w:r>
        <w:rPr/>
        <w:pict>
          <v:shape style="position:absolute;margin-left:62.637798pt;margin-top:12.644455pt;width:3.25pt;height:3.25pt;mso-position-horizontal-relative:page;mso-position-vertical-relative:paragraph;z-index:251680768" coordorigin="1253,253" coordsize="65,65" path="m1285,317l1271,315,1261,309,1255,299,1253,285,1255,271,1261,261,1271,255,1285,253,1299,255,1309,261,1315,271,1317,285,1315,299,1309,309,1299,315,1285,317xe" filled="true" fillcolor="#000000" stroked="false">
            <v:path arrowok="t"/>
            <v:fill type="solid"/>
            <w10:wrap type="none"/>
          </v:shape>
        </w:pict>
      </w:r>
      <w:hyperlink r:id="rId6">
        <w:r>
          <w:rPr>
            <w:color w:val="878787"/>
          </w:rPr>
          <w:t>下一部：乾隆大藏经·西土圣贤撰集·百千诵大集经地藏菩萨请问法身赞一卷</w:t>
        </w:r>
      </w:hyperlink>
    </w:p>
    <w:p>
      <w:pPr>
        <w:pStyle w:val="BodyText"/>
        <w:spacing w:before="0"/>
        <w:ind w:left="0" w:right="0"/>
        <w:jc w:val="left"/>
        <w:rPr>
          <w:sz w:val="20"/>
        </w:rPr>
      </w:pPr>
    </w:p>
    <w:p>
      <w:pPr>
        <w:pStyle w:val="BodyText"/>
        <w:ind w:left="0" w:right="0"/>
        <w:jc w:val="left"/>
      </w:pPr>
      <w:r>
        <w:rPr/>
        <w:pict>
          <v:shapetype id="_x0000_t202" o:spt="202" coordsize="21600,21600" path="m,l,21600r21600,l21600,xe">
            <v:stroke joinstyle="miter"/>
            <v:path gradientshapeok="t" o:connecttype="rect"/>
          </v:shapetype>
          <v:shape style="position:absolute;margin-left:35.006748pt;margin-top:17.866436pt;width:539.050pt;height:22.45pt;mso-position-horizontal-relative:page;mso-position-vertical-relative:paragraph;z-index:-251639808;mso-wrap-distance-left:0;mso-wrap-distance-right:0" type="#_x0000_t202" filled="true" fillcolor="#ff9933" stroked="true" strokeweight=".80090pt" strokecolor="#000000">
            <v:textbox inset="0,0,0,0">
              <w:txbxContent>
                <w:p>
                  <w:pPr>
                    <w:pStyle w:val="BodyText"/>
                    <w:spacing w:before="64"/>
                    <w:ind w:left="2963" w:right="2961"/>
                    <w:jc w:val="center"/>
                  </w:pPr>
                  <w:r>
                    <w:rPr>
                      <w:color w:val="DDDDDD"/>
                    </w:rPr>
                    <w:t>乾隆大藏经·西土圣贤撰集·一百五十赞佛颂</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471"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755" w:hanging="369"/>
      </w:pPr>
      <w:rPr>
        <w:rFonts w:hint="default"/>
        <w:lang w:val="zh-CN" w:eastAsia="zh-CN" w:bidi="zh-CN"/>
      </w:rPr>
    </w:lvl>
    <w:lvl w:ilvl="2">
      <w:start w:val="0"/>
      <w:numFmt w:val="bullet"/>
      <w:lvlText w:val="•"/>
      <w:lvlJc w:val="left"/>
      <w:pPr>
        <w:ind w:left="1030" w:hanging="369"/>
      </w:pPr>
      <w:rPr>
        <w:rFonts w:hint="default"/>
        <w:lang w:val="zh-CN" w:eastAsia="zh-CN" w:bidi="zh-CN"/>
      </w:rPr>
    </w:lvl>
    <w:lvl w:ilvl="3">
      <w:start w:val="0"/>
      <w:numFmt w:val="bullet"/>
      <w:lvlText w:val="•"/>
      <w:lvlJc w:val="left"/>
      <w:pPr>
        <w:ind w:left="1305" w:hanging="369"/>
      </w:pPr>
      <w:rPr>
        <w:rFonts w:hint="default"/>
        <w:lang w:val="zh-CN" w:eastAsia="zh-CN" w:bidi="zh-CN"/>
      </w:rPr>
    </w:lvl>
    <w:lvl w:ilvl="4">
      <w:start w:val="0"/>
      <w:numFmt w:val="bullet"/>
      <w:lvlText w:val="•"/>
      <w:lvlJc w:val="left"/>
      <w:pPr>
        <w:ind w:left="1580" w:hanging="369"/>
      </w:pPr>
      <w:rPr>
        <w:rFonts w:hint="default"/>
        <w:lang w:val="zh-CN" w:eastAsia="zh-CN" w:bidi="zh-CN"/>
      </w:rPr>
    </w:lvl>
    <w:lvl w:ilvl="5">
      <w:start w:val="0"/>
      <w:numFmt w:val="bullet"/>
      <w:lvlText w:val="•"/>
      <w:lvlJc w:val="left"/>
      <w:pPr>
        <w:ind w:left="1856" w:hanging="369"/>
      </w:pPr>
      <w:rPr>
        <w:rFonts w:hint="default"/>
        <w:lang w:val="zh-CN" w:eastAsia="zh-CN" w:bidi="zh-CN"/>
      </w:rPr>
    </w:lvl>
    <w:lvl w:ilvl="6">
      <w:start w:val="0"/>
      <w:numFmt w:val="bullet"/>
      <w:lvlText w:val="•"/>
      <w:lvlJc w:val="left"/>
      <w:pPr>
        <w:ind w:left="2131" w:hanging="369"/>
      </w:pPr>
      <w:rPr>
        <w:rFonts w:hint="default"/>
        <w:lang w:val="zh-CN" w:eastAsia="zh-CN" w:bidi="zh-CN"/>
      </w:rPr>
    </w:lvl>
    <w:lvl w:ilvl="7">
      <w:start w:val="0"/>
      <w:numFmt w:val="bullet"/>
      <w:lvlText w:val="•"/>
      <w:lvlJc w:val="left"/>
      <w:pPr>
        <w:ind w:left="2406" w:hanging="369"/>
      </w:pPr>
      <w:rPr>
        <w:rFonts w:hint="default"/>
        <w:lang w:val="zh-CN" w:eastAsia="zh-CN" w:bidi="zh-CN"/>
      </w:rPr>
    </w:lvl>
    <w:lvl w:ilvl="8">
      <w:start w:val="0"/>
      <w:numFmt w:val="bullet"/>
      <w:lvlText w:val="•"/>
      <w:lvlJc w:val="left"/>
      <w:pPr>
        <w:ind w:left="2681" w:hanging="369"/>
      </w:pPr>
      <w:rPr>
        <w:rFonts w:hint="default"/>
        <w:lang w:val="zh-CN" w:eastAsia="zh-CN" w:bidi="zh-CN"/>
      </w:rPr>
    </w:lvl>
  </w:abstractNum>
  <w:abstractNum w:abstractNumId="1">
    <w:multiLevelType w:val="hybridMultilevel"/>
    <w:lvl w:ilvl="0">
      <w:start w:val="0"/>
      <w:numFmt w:val="bullet"/>
      <w:lvlText w:val="·"/>
      <w:lvlJc w:val="left"/>
      <w:pPr>
        <w:ind w:left="443"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531" w:hanging="369"/>
      </w:pPr>
      <w:rPr>
        <w:rFonts w:hint="default"/>
        <w:lang w:val="zh-CN" w:eastAsia="zh-CN" w:bidi="zh-CN"/>
      </w:rPr>
    </w:lvl>
    <w:lvl w:ilvl="2">
      <w:start w:val="0"/>
      <w:numFmt w:val="bullet"/>
      <w:lvlText w:val="•"/>
      <w:lvlJc w:val="left"/>
      <w:pPr>
        <w:ind w:left="623" w:hanging="369"/>
      </w:pPr>
      <w:rPr>
        <w:rFonts w:hint="default"/>
        <w:lang w:val="zh-CN" w:eastAsia="zh-CN" w:bidi="zh-CN"/>
      </w:rPr>
    </w:lvl>
    <w:lvl w:ilvl="3">
      <w:start w:val="0"/>
      <w:numFmt w:val="bullet"/>
      <w:lvlText w:val="•"/>
      <w:lvlJc w:val="left"/>
      <w:pPr>
        <w:ind w:left="715" w:hanging="369"/>
      </w:pPr>
      <w:rPr>
        <w:rFonts w:hint="default"/>
        <w:lang w:val="zh-CN" w:eastAsia="zh-CN" w:bidi="zh-CN"/>
      </w:rPr>
    </w:lvl>
    <w:lvl w:ilvl="4">
      <w:start w:val="0"/>
      <w:numFmt w:val="bullet"/>
      <w:lvlText w:val="•"/>
      <w:lvlJc w:val="left"/>
      <w:pPr>
        <w:ind w:left="807" w:hanging="369"/>
      </w:pPr>
      <w:rPr>
        <w:rFonts w:hint="default"/>
        <w:lang w:val="zh-CN" w:eastAsia="zh-CN" w:bidi="zh-CN"/>
      </w:rPr>
    </w:lvl>
    <w:lvl w:ilvl="5">
      <w:start w:val="0"/>
      <w:numFmt w:val="bullet"/>
      <w:lvlText w:val="•"/>
      <w:lvlJc w:val="left"/>
      <w:pPr>
        <w:ind w:left="899" w:hanging="369"/>
      </w:pPr>
      <w:rPr>
        <w:rFonts w:hint="default"/>
        <w:lang w:val="zh-CN" w:eastAsia="zh-CN" w:bidi="zh-CN"/>
      </w:rPr>
    </w:lvl>
    <w:lvl w:ilvl="6">
      <w:start w:val="0"/>
      <w:numFmt w:val="bullet"/>
      <w:lvlText w:val="•"/>
      <w:lvlJc w:val="left"/>
      <w:pPr>
        <w:ind w:left="991" w:hanging="369"/>
      </w:pPr>
      <w:rPr>
        <w:rFonts w:hint="default"/>
        <w:lang w:val="zh-CN" w:eastAsia="zh-CN" w:bidi="zh-CN"/>
      </w:rPr>
    </w:lvl>
    <w:lvl w:ilvl="7">
      <w:start w:val="0"/>
      <w:numFmt w:val="bullet"/>
      <w:lvlText w:val="•"/>
      <w:lvlJc w:val="left"/>
      <w:pPr>
        <w:ind w:left="1083" w:hanging="369"/>
      </w:pPr>
      <w:rPr>
        <w:rFonts w:hint="default"/>
        <w:lang w:val="zh-CN" w:eastAsia="zh-CN" w:bidi="zh-CN"/>
      </w:rPr>
    </w:lvl>
    <w:lvl w:ilvl="8">
      <w:start w:val="0"/>
      <w:numFmt w:val="bullet"/>
      <w:lvlText w:val="•"/>
      <w:lvlJc w:val="left"/>
      <w:pPr>
        <w:ind w:left="1175"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070" w:hanging="369"/>
      </w:pPr>
      <w:rPr>
        <w:rFonts w:hint="default"/>
        <w:lang w:val="zh-CN" w:eastAsia="zh-CN" w:bidi="zh-CN"/>
      </w:rPr>
    </w:lvl>
    <w:lvl w:ilvl="2">
      <w:start w:val="0"/>
      <w:numFmt w:val="bullet"/>
      <w:lvlText w:val="•"/>
      <w:lvlJc w:val="left"/>
      <w:pPr>
        <w:ind w:left="1220" w:hanging="369"/>
      </w:pPr>
      <w:rPr>
        <w:rFonts w:hint="default"/>
        <w:lang w:val="zh-CN" w:eastAsia="zh-CN" w:bidi="zh-CN"/>
      </w:rPr>
    </w:lvl>
    <w:lvl w:ilvl="3">
      <w:start w:val="0"/>
      <w:numFmt w:val="bullet"/>
      <w:lvlText w:val="•"/>
      <w:lvlJc w:val="left"/>
      <w:pPr>
        <w:ind w:left="1370" w:hanging="369"/>
      </w:pPr>
      <w:rPr>
        <w:rFonts w:hint="default"/>
        <w:lang w:val="zh-CN" w:eastAsia="zh-CN" w:bidi="zh-CN"/>
      </w:rPr>
    </w:lvl>
    <w:lvl w:ilvl="4">
      <w:start w:val="0"/>
      <w:numFmt w:val="bullet"/>
      <w:lvlText w:val="•"/>
      <w:lvlJc w:val="left"/>
      <w:pPr>
        <w:ind w:left="1520" w:hanging="369"/>
      </w:pPr>
      <w:rPr>
        <w:rFonts w:hint="default"/>
        <w:lang w:val="zh-CN" w:eastAsia="zh-CN" w:bidi="zh-CN"/>
      </w:rPr>
    </w:lvl>
    <w:lvl w:ilvl="5">
      <w:start w:val="0"/>
      <w:numFmt w:val="bullet"/>
      <w:lvlText w:val="•"/>
      <w:lvlJc w:val="left"/>
      <w:pPr>
        <w:ind w:left="1671" w:hanging="369"/>
      </w:pPr>
      <w:rPr>
        <w:rFonts w:hint="default"/>
        <w:lang w:val="zh-CN" w:eastAsia="zh-CN" w:bidi="zh-CN"/>
      </w:rPr>
    </w:lvl>
    <w:lvl w:ilvl="6">
      <w:start w:val="0"/>
      <w:numFmt w:val="bullet"/>
      <w:lvlText w:val="•"/>
      <w:lvlJc w:val="left"/>
      <w:pPr>
        <w:ind w:left="1821" w:hanging="369"/>
      </w:pPr>
      <w:rPr>
        <w:rFonts w:hint="default"/>
        <w:lang w:val="zh-CN" w:eastAsia="zh-CN" w:bidi="zh-CN"/>
      </w:rPr>
    </w:lvl>
    <w:lvl w:ilvl="7">
      <w:start w:val="0"/>
      <w:numFmt w:val="bullet"/>
      <w:lvlText w:val="•"/>
      <w:lvlJc w:val="left"/>
      <w:pPr>
        <w:ind w:left="1971" w:hanging="369"/>
      </w:pPr>
      <w:rPr>
        <w:rFonts w:hint="default"/>
        <w:lang w:val="zh-CN" w:eastAsia="zh-CN" w:bidi="zh-CN"/>
      </w:rPr>
    </w:lvl>
    <w:lvl w:ilvl="8">
      <w:start w:val="0"/>
      <w:numFmt w:val="bullet"/>
      <w:lvlText w:val="•"/>
      <w:lvlJc w:val="left"/>
      <w:pPr>
        <w:ind w:left="2121" w:hanging="369"/>
      </w:pPr>
      <w:rPr>
        <w:rFonts w:hint="default"/>
        <w:lang w:val="zh-CN" w:eastAsia="zh-CN" w:bidi="zh-CN"/>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2"/>
      <w:ind w:left="930" w:right="7204"/>
      <w:jc w:val="both"/>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448.htm" TargetMode="External"/><Relationship Id="rId6" Type="http://schemas.openxmlformats.org/officeDocument/2006/relationships/hyperlink" Target="http://qldzj.com/htmljw/1450.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2020-04-22T12:05:48Z</dcterms:created>
  <dcterms:modified xsi:type="dcterms:W3CDTF">2020-04-22T12:05:48Z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